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0D82" w14:textId="547ACDEF" w:rsidR="00696CE4" w:rsidRPr="00696CE4" w:rsidRDefault="00696CE4" w:rsidP="00696CE4">
      <w:pPr>
        <w:spacing w:line="240" w:lineRule="auto"/>
        <w:jc w:val="center"/>
        <w:rPr>
          <w:rFonts w:ascii="Calibri" w:eastAsia="Calibri" w:hAnsi="Calibri" w:cs="Times New Roman"/>
          <w:b/>
          <w:sz w:val="24"/>
          <w:szCs w:val="24"/>
        </w:rPr>
      </w:pPr>
      <w:r w:rsidRPr="00696CE4">
        <w:rPr>
          <w:rFonts w:ascii="Calibri" w:eastAsia="Calibri" w:hAnsi="Calibri" w:cs="Times New Roman"/>
          <w:b/>
          <w:sz w:val="24"/>
          <w:szCs w:val="24"/>
        </w:rPr>
        <w:t xml:space="preserve">COMMENTS ON THE UNDP DRAFT COUNTRY PROGRAMME DOCUMENT FOR </w:t>
      </w:r>
      <w:r>
        <w:rPr>
          <w:rFonts w:ascii="Calibri" w:eastAsia="Calibri" w:hAnsi="Calibri" w:cs="Times New Roman"/>
          <w:b/>
          <w:sz w:val="24"/>
          <w:szCs w:val="24"/>
        </w:rPr>
        <w:t>BANGLADESH</w:t>
      </w:r>
      <w:r w:rsidRPr="00696CE4">
        <w:rPr>
          <w:rFonts w:ascii="Calibri" w:eastAsia="Calibri" w:hAnsi="Calibri" w:cs="Times New Roman"/>
          <w:b/>
          <w:sz w:val="24"/>
          <w:szCs w:val="24"/>
        </w:rPr>
        <w:t xml:space="preserve"> (2022-2026)</w:t>
      </w:r>
    </w:p>
    <w:p w14:paraId="53F340D5" w14:textId="5DCFA14B" w:rsidR="00DA5D1C" w:rsidRPr="00036F9D" w:rsidRDefault="00423221" w:rsidP="00A457DA">
      <w:pPr>
        <w:spacing w:line="240" w:lineRule="auto"/>
        <w:jc w:val="center"/>
        <w:rPr>
          <w:rFonts w:cstheme="minorHAnsi"/>
          <w:i/>
          <w:color w:val="000000" w:themeColor="text1"/>
        </w:rPr>
      </w:pPr>
      <w:r w:rsidRPr="00036F9D">
        <w:rPr>
          <w:rFonts w:cstheme="minorHAnsi"/>
          <w:i/>
          <w:color w:val="000000" w:themeColor="text1"/>
        </w:rPr>
        <w:t xml:space="preserve">Second regular </w:t>
      </w:r>
      <w:r w:rsidR="00EB1427" w:rsidRPr="00036F9D">
        <w:rPr>
          <w:rFonts w:cstheme="minorHAnsi"/>
          <w:i/>
          <w:color w:val="000000" w:themeColor="text1"/>
        </w:rPr>
        <w:t>s</w:t>
      </w:r>
      <w:r w:rsidR="00DA5D1C" w:rsidRPr="00036F9D">
        <w:rPr>
          <w:rFonts w:cstheme="minorHAnsi"/>
          <w:i/>
          <w:color w:val="000000" w:themeColor="text1"/>
        </w:rPr>
        <w:t>ession</w:t>
      </w:r>
      <w:r w:rsidR="00EB1427" w:rsidRPr="00036F9D">
        <w:rPr>
          <w:rFonts w:cstheme="minorHAnsi"/>
          <w:i/>
          <w:color w:val="000000" w:themeColor="text1"/>
        </w:rPr>
        <w:t xml:space="preserve"> 202</w:t>
      </w:r>
      <w:r w:rsidR="00E03066" w:rsidRPr="00036F9D">
        <w:rPr>
          <w:rFonts w:cstheme="minorHAnsi"/>
          <w:i/>
          <w:color w:val="000000" w:themeColor="text1"/>
        </w:rPr>
        <w:t>1</w:t>
      </w:r>
    </w:p>
    <w:tbl>
      <w:tblPr>
        <w:tblStyle w:val="TableGrid"/>
        <w:tblW w:w="13765" w:type="dxa"/>
        <w:tblLook w:val="04A0" w:firstRow="1" w:lastRow="0" w:firstColumn="1" w:lastColumn="0" w:noHBand="0" w:noVBand="1"/>
      </w:tblPr>
      <w:tblGrid>
        <w:gridCol w:w="6941"/>
        <w:gridCol w:w="6824"/>
      </w:tblGrid>
      <w:tr w:rsidR="00EB197E" w:rsidRPr="00036F9D" w14:paraId="43D85902" w14:textId="0C0D3556" w:rsidTr="008D2ADD">
        <w:trPr>
          <w:trHeight w:val="476"/>
        </w:trPr>
        <w:tc>
          <w:tcPr>
            <w:tcW w:w="6941" w:type="dxa"/>
            <w:shd w:val="clear" w:color="auto" w:fill="00B0F0"/>
            <w:vAlign w:val="center"/>
          </w:tcPr>
          <w:p w14:paraId="0970B4E5" w14:textId="56FCF67E" w:rsidR="002632C4" w:rsidRPr="00036F9D" w:rsidRDefault="002632C4" w:rsidP="00EF2FE0">
            <w:pPr>
              <w:jc w:val="center"/>
              <w:rPr>
                <w:rFonts w:cstheme="minorHAnsi"/>
                <w:b/>
                <w:color w:val="000000" w:themeColor="text1"/>
              </w:rPr>
            </w:pPr>
            <w:r w:rsidRPr="00036F9D">
              <w:rPr>
                <w:rFonts w:cstheme="minorHAnsi"/>
                <w:b/>
                <w:color w:val="000000" w:themeColor="text1"/>
              </w:rPr>
              <w:t xml:space="preserve">Comments by Sweden </w:t>
            </w:r>
          </w:p>
        </w:tc>
        <w:tc>
          <w:tcPr>
            <w:tcW w:w="6824" w:type="dxa"/>
            <w:shd w:val="clear" w:color="auto" w:fill="00B0F0"/>
            <w:vAlign w:val="center"/>
          </w:tcPr>
          <w:p w14:paraId="71C3E9FF" w14:textId="01D497B9" w:rsidR="002632C4" w:rsidRPr="00036F9D" w:rsidRDefault="003B68F8" w:rsidP="00EF2FE0">
            <w:pPr>
              <w:jc w:val="center"/>
              <w:rPr>
                <w:rFonts w:cstheme="minorHAnsi"/>
                <w:b/>
                <w:color w:val="000000" w:themeColor="text1"/>
              </w:rPr>
            </w:pPr>
            <w:r w:rsidRPr="00036F9D">
              <w:rPr>
                <w:rFonts w:cstheme="minorHAnsi"/>
                <w:b/>
                <w:color w:val="000000" w:themeColor="text1"/>
              </w:rPr>
              <w:t xml:space="preserve">Country Office </w:t>
            </w:r>
            <w:r w:rsidR="002632C4" w:rsidRPr="00036F9D">
              <w:rPr>
                <w:rFonts w:cstheme="minorHAnsi"/>
                <w:b/>
                <w:color w:val="000000" w:themeColor="text1"/>
              </w:rPr>
              <w:t>Response</w:t>
            </w:r>
            <w:r w:rsidR="004E6487" w:rsidRPr="00036F9D">
              <w:rPr>
                <w:rFonts w:cstheme="minorHAnsi"/>
                <w:b/>
                <w:color w:val="000000" w:themeColor="text1"/>
              </w:rPr>
              <w:t>s</w:t>
            </w:r>
          </w:p>
        </w:tc>
      </w:tr>
      <w:tr w:rsidR="00EB197E" w:rsidRPr="00036F9D" w14:paraId="471D86FD" w14:textId="03F4DFF7" w:rsidTr="008D2ADD">
        <w:trPr>
          <w:trHeight w:val="476"/>
        </w:trPr>
        <w:tc>
          <w:tcPr>
            <w:tcW w:w="6941" w:type="dxa"/>
            <w:vAlign w:val="center"/>
          </w:tcPr>
          <w:p w14:paraId="5DDB74D2" w14:textId="516AEC35" w:rsidR="002632C4" w:rsidRPr="00036F9D" w:rsidRDefault="002632C4" w:rsidP="00036F9D">
            <w:pPr>
              <w:pBdr>
                <w:top w:val="nil"/>
                <w:left w:val="nil"/>
                <w:bottom w:val="nil"/>
                <w:right w:val="nil"/>
                <w:between w:val="nil"/>
              </w:pBdr>
              <w:rPr>
                <w:rFonts w:cstheme="minorHAnsi"/>
                <w:color w:val="000000" w:themeColor="text1"/>
              </w:rPr>
            </w:pPr>
            <w:r w:rsidRPr="00036F9D">
              <w:rPr>
                <w:rFonts w:cstheme="minorHAnsi"/>
                <w:color w:val="000000" w:themeColor="text1"/>
              </w:rPr>
              <w:t>In general, the plan is clearly linked to the draft UNSCDF 2022 – 2026 and focus on the 3 strategic priorities in this overall plan that are within UNDPs mandate.</w:t>
            </w:r>
          </w:p>
        </w:tc>
        <w:tc>
          <w:tcPr>
            <w:tcW w:w="6824" w:type="dxa"/>
          </w:tcPr>
          <w:p w14:paraId="6440B1D0" w14:textId="53CD3300" w:rsidR="002632C4" w:rsidRPr="00036F9D" w:rsidRDefault="003B68F8" w:rsidP="00E5119F">
            <w:pPr>
              <w:pBdr>
                <w:top w:val="nil"/>
                <w:left w:val="nil"/>
                <w:bottom w:val="nil"/>
                <w:right w:val="nil"/>
                <w:between w:val="nil"/>
              </w:pBdr>
              <w:tabs>
                <w:tab w:val="left" w:pos="540"/>
                <w:tab w:val="left" w:pos="900"/>
              </w:tabs>
              <w:spacing w:before="120" w:after="120"/>
              <w:ind w:right="272"/>
              <w:jc w:val="both"/>
              <w:rPr>
                <w:rFonts w:cstheme="minorHAnsi"/>
                <w:color w:val="000000" w:themeColor="text1"/>
              </w:rPr>
            </w:pPr>
            <w:r w:rsidRPr="00036F9D">
              <w:rPr>
                <w:rFonts w:cstheme="minorHAnsi"/>
                <w:color w:val="000000" w:themeColor="text1"/>
              </w:rPr>
              <w:t>The comment is well noted.</w:t>
            </w:r>
            <w:r w:rsidR="0041148D" w:rsidRPr="00036F9D">
              <w:rPr>
                <w:rFonts w:cstheme="minorHAnsi"/>
                <w:color w:val="000000" w:themeColor="text1"/>
              </w:rPr>
              <w:t xml:space="preserve"> </w:t>
            </w:r>
          </w:p>
        </w:tc>
      </w:tr>
      <w:tr w:rsidR="00EB197E" w:rsidRPr="00036F9D" w14:paraId="1FAEBB2F" w14:textId="20F2636A" w:rsidTr="008D2ADD">
        <w:trPr>
          <w:trHeight w:val="476"/>
        </w:trPr>
        <w:tc>
          <w:tcPr>
            <w:tcW w:w="6941" w:type="dxa"/>
            <w:vAlign w:val="center"/>
          </w:tcPr>
          <w:p w14:paraId="52D06490" w14:textId="77777777" w:rsidR="002632C4" w:rsidRPr="00036F9D" w:rsidRDefault="002632C4" w:rsidP="00036F9D">
            <w:pPr>
              <w:rPr>
                <w:rFonts w:cstheme="minorHAnsi"/>
                <w:color w:val="000000" w:themeColor="text1"/>
              </w:rPr>
            </w:pPr>
            <w:r w:rsidRPr="00036F9D">
              <w:rPr>
                <w:rFonts w:cstheme="minorHAnsi"/>
                <w:color w:val="000000" w:themeColor="text1"/>
              </w:rPr>
              <w:t>It is noted (Point 23) that “UNDP will apply a cross-portfolio approach to programming and ensure a dynamic linkage and interaction between the three outcomes both programmatically and operationally…” To apply such approach and implement programs more jointly with other UN agencies and also cross-portfolio within UNDP need to be emphasized and strengthened in the actual implementation.</w:t>
            </w:r>
          </w:p>
        </w:tc>
        <w:tc>
          <w:tcPr>
            <w:tcW w:w="6824" w:type="dxa"/>
          </w:tcPr>
          <w:p w14:paraId="0DDC8DBC" w14:textId="284799EB" w:rsidR="002632C4" w:rsidRPr="00036F9D" w:rsidRDefault="00036F9D" w:rsidP="00901B79">
            <w:pPr>
              <w:pBdr>
                <w:top w:val="nil"/>
                <w:left w:val="nil"/>
                <w:bottom w:val="nil"/>
                <w:right w:val="nil"/>
                <w:between w:val="nil"/>
              </w:pBdr>
              <w:tabs>
                <w:tab w:val="left" w:pos="540"/>
                <w:tab w:val="left" w:pos="900"/>
              </w:tabs>
              <w:spacing w:before="120" w:after="120"/>
              <w:ind w:right="272"/>
              <w:jc w:val="both"/>
              <w:rPr>
                <w:rFonts w:cstheme="minorHAnsi"/>
                <w:color w:val="000000" w:themeColor="text1"/>
              </w:rPr>
            </w:pPr>
            <w:r>
              <w:rPr>
                <w:rFonts w:cstheme="minorHAnsi"/>
                <w:color w:val="000000" w:themeColor="text1"/>
              </w:rPr>
              <w:t xml:space="preserve">The </w:t>
            </w:r>
            <w:r w:rsidR="004B6F87" w:rsidRPr="00036F9D">
              <w:rPr>
                <w:rFonts w:cstheme="minorHAnsi"/>
                <w:color w:val="000000" w:themeColor="text1"/>
              </w:rPr>
              <w:t>comment</w:t>
            </w:r>
            <w:r>
              <w:rPr>
                <w:rFonts w:cstheme="minorHAnsi"/>
                <w:color w:val="000000" w:themeColor="text1"/>
              </w:rPr>
              <w:t xml:space="preserve"> is</w:t>
            </w:r>
            <w:r w:rsidR="004B6F87" w:rsidRPr="00036F9D">
              <w:rPr>
                <w:rFonts w:cstheme="minorHAnsi"/>
                <w:color w:val="000000" w:themeColor="text1"/>
              </w:rPr>
              <w:t xml:space="preserve"> well noted.</w:t>
            </w:r>
            <w:r w:rsidR="00F53F1B">
              <w:rPr>
                <w:rFonts w:cstheme="minorHAnsi"/>
                <w:color w:val="000000" w:themeColor="text1"/>
              </w:rPr>
              <w:t xml:space="preserve">  </w:t>
            </w:r>
            <w:r w:rsidR="004B6F87" w:rsidRPr="00036F9D">
              <w:rPr>
                <w:rFonts w:cstheme="minorHAnsi"/>
                <w:color w:val="000000" w:themeColor="text1"/>
              </w:rPr>
              <w:t xml:space="preserve">There are </w:t>
            </w:r>
            <w:r w:rsidR="00F53F1B">
              <w:rPr>
                <w:rFonts w:cstheme="minorHAnsi"/>
                <w:color w:val="000000" w:themeColor="text1"/>
              </w:rPr>
              <w:t>several</w:t>
            </w:r>
            <w:r w:rsidR="004B6F87" w:rsidRPr="00036F9D">
              <w:rPr>
                <w:rFonts w:cstheme="minorHAnsi"/>
                <w:color w:val="000000" w:themeColor="text1"/>
              </w:rPr>
              <w:t xml:space="preserve"> mechanisms in place to ensure cross-portfolio collaboration and coordination during the whole cycle of programme/project management </w:t>
            </w:r>
            <w:r w:rsidR="00901B79" w:rsidRPr="00036F9D">
              <w:rPr>
                <w:rFonts w:cstheme="minorHAnsi"/>
                <w:color w:val="000000" w:themeColor="text1"/>
              </w:rPr>
              <w:t>including implementation.</w:t>
            </w:r>
            <w:r w:rsidR="004B6F87" w:rsidRPr="00036F9D">
              <w:rPr>
                <w:rFonts w:cstheme="minorHAnsi"/>
                <w:color w:val="000000" w:themeColor="text1"/>
              </w:rPr>
              <w:t xml:space="preserve"> </w:t>
            </w:r>
            <w:r w:rsidR="00901B79" w:rsidRPr="00036F9D">
              <w:rPr>
                <w:rFonts w:cstheme="minorHAnsi"/>
                <w:color w:val="000000" w:themeColor="text1"/>
              </w:rPr>
              <w:t>T</w:t>
            </w:r>
            <w:r w:rsidR="004B6F87" w:rsidRPr="00036F9D">
              <w:rPr>
                <w:rFonts w:cstheme="minorHAnsi"/>
                <w:color w:val="000000" w:themeColor="text1"/>
              </w:rPr>
              <w:t>he</w:t>
            </w:r>
            <w:r w:rsidR="00F53F1B">
              <w:rPr>
                <w:rFonts w:cstheme="minorHAnsi"/>
                <w:color w:val="000000" w:themeColor="text1"/>
              </w:rPr>
              <w:t xml:space="preserve">se include </w:t>
            </w:r>
            <w:r>
              <w:rPr>
                <w:rFonts w:cstheme="minorHAnsi"/>
                <w:color w:val="000000" w:themeColor="text1"/>
              </w:rPr>
              <w:t xml:space="preserve">(i) the </w:t>
            </w:r>
            <w:r w:rsidR="004B6F87" w:rsidRPr="00036F9D">
              <w:rPr>
                <w:rFonts w:cstheme="minorHAnsi"/>
                <w:color w:val="000000" w:themeColor="text1"/>
              </w:rPr>
              <w:t>internal UNDP programme team and</w:t>
            </w:r>
            <w:r>
              <w:rPr>
                <w:rFonts w:cstheme="minorHAnsi"/>
                <w:color w:val="000000" w:themeColor="text1"/>
              </w:rPr>
              <w:t xml:space="preserve"> (ii)</w:t>
            </w:r>
            <w:r w:rsidR="004B6F87" w:rsidRPr="00036F9D">
              <w:rPr>
                <w:rFonts w:cstheme="minorHAnsi"/>
                <w:color w:val="000000" w:themeColor="text1"/>
              </w:rPr>
              <w:t xml:space="preserve"> the UN Programme Management Team (PMT) of which UNDP is </w:t>
            </w:r>
            <w:r>
              <w:rPr>
                <w:rFonts w:cstheme="minorHAnsi"/>
                <w:color w:val="000000" w:themeColor="text1"/>
              </w:rPr>
              <w:t xml:space="preserve">the </w:t>
            </w:r>
            <w:r w:rsidR="004B6F87" w:rsidRPr="00036F9D">
              <w:rPr>
                <w:rFonts w:cstheme="minorHAnsi"/>
                <w:color w:val="000000" w:themeColor="text1"/>
              </w:rPr>
              <w:t xml:space="preserve">co-chair.  </w:t>
            </w:r>
            <w:r w:rsidR="00F53F1B">
              <w:rPr>
                <w:rFonts w:cstheme="minorHAnsi"/>
                <w:color w:val="000000" w:themeColor="text1"/>
              </w:rPr>
              <w:t>Additionally, some projects will respond to multiple outcomes concurrently.</w:t>
            </w:r>
          </w:p>
        </w:tc>
      </w:tr>
      <w:tr w:rsidR="00EB197E" w:rsidRPr="00036F9D" w14:paraId="49E650AA" w14:textId="61362FEC" w:rsidTr="008D2ADD">
        <w:trPr>
          <w:trHeight w:val="476"/>
        </w:trPr>
        <w:tc>
          <w:tcPr>
            <w:tcW w:w="6941" w:type="dxa"/>
          </w:tcPr>
          <w:p w14:paraId="0D4FCFDF" w14:textId="77777777" w:rsidR="002632C4" w:rsidRPr="00036F9D" w:rsidRDefault="002632C4" w:rsidP="00036F9D">
            <w:pPr>
              <w:rPr>
                <w:rFonts w:cstheme="minorHAnsi"/>
                <w:color w:val="000000" w:themeColor="text1"/>
              </w:rPr>
            </w:pPr>
            <w:r w:rsidRPr="00036F9D">
              <w:rPr>
                <w:rFonts w:cstheme="minorHAnsi"/>
                <w:color w:val="000000" w:themeColor="text1"/>
              </w:rPr>
              <w:t>The absence of focus on nexus programming, and UNDP’s role therein, is a gap. An elaboration on UNDP in the coordination of development efforts in Cox’s Bazar would be welcome.</w:t>
            </w:r>
          </w:p>
        </w:tc>
        <w:tc>
          <w:tcPr>
            <w:tcW w:w="6824" w:type="dxa"/>
          </w:tcPr>
          <w:p w14:paraId="76D96DA3" w14:textId="317C2973" w:rsidR="002632C4" w:rsidRPr="00036F9D" w:rsidRDefault="00901B79" w:rsidP="00E5119F">
            <w:pPr>
              <w:rPr>
                <w:rFonts w:eastAsia="Times New Roman" w:cstheme="minorHAnsi"/>
                <w:color w:val="000000" w:themeColor="text1"/>
              </w:rPr>
            </w:pPr>
            <w:r w:rsidRPr="00036F9D">
              <w:rPr>
                <w:rFonts w:eastAsia="Times New Roman" w:cstheme="minorHAnsi"/>
                <w:color w:val="000000" w:themeColor="text1"/>
              </w:rPr>
              <w:t>The comment</w:t>
            </w:r>
            <w:r w:rsidR="00036F9D">
              <w:rPr>
                <w:rFonts w:eastAsia="Times New Roman" w:cstheme="minorHAnsi"/>
                <w:color w:val="000000" w:themeColor="text1"/>
              </w:rPr>
              <w:t xml:space="preserve"> is</w:t>
            </w:r>
            <w:r w:rsidRPr="00036F9D">
              <w:rPr>
                <w:rFonts w:eastAsia="Times New Roman" w:cstheme="minorHAnsi"/>
                <w:color w:val="000000" w:themeColor="text1"/>
              </w:rPr>
              <w:t xml:space="preserve"> well noted and </w:t>
            </w:r>
            <w:r w:rsidR="00036F9D">
              <w:rPr>
                <w:rFonts w:eastAsia="Times New Roman" w:cstheme="minorHAnsi"/>
                <w:color w:val="000000" w:themeColor="text1"/>
              </w:rPr>
              <w:t>is</w:t>
            </w:r>
            <w:r w:rsidRPr="00036F9D">
              <w:rPr>
                <w:rFonts w:eastAsia="Times New Roman" w:cstheme="minorHAnsi"/>
                <w:color w:val="000000" w:themeColor="text1"/>
              </w:rPr>
              <w:t xml:space="preserve"> </w:t>
            </w:r>
            <w:r w:rsidR="0041148D" w:rsidRPr="00036F9D">
              <w:rPr>
                <w:rFonts w:eastAsia="Times New Roman" w:cstheme="minorHAnsi"/>
                <w:color w:val="000000" w:themeColor="text1"/>
              </w:rPr>
              <w:t>a</w:t>
            </w:r>
            <w:r w:rsidR="009B6A13" w:rsidRPr="00036F9D">
              <w:rPr>
                <w:rFonts w:eastAsia="Times New Roman" w:cstheme="minorHAnsi"/>
                <w:color w:val="000000" w:themeColor="text1"/>
              </w:rPr>
              <w:t xml:space="preserve">ddressed in </w:t>
            </w:r>
            <w:r w:rsidR="002B7862" w:rsidRPr="00036F9D">
              <w:rPr>
                <w:rFonts w:eastAsia="Times New Roman" w:cstheme="minorHAnsi"/>
                <w:color w:val="000000" w:themeColor="text1"/>
              </w:rPr>
              <w:t xml:space="preserve">the revised </w:t>
            </w:r>
            <w:r w:rsidR="0041148D" w:rsidRPr="00036F9D">
              <w:rPr>
                <w:rFonts w:eastAsia="Times New Roman" w:cstheme="minorHAnsi"/>
                <w:color w:val="000000" w:themeColor="text1"/>
              </w:rPr>
              <w:t xml:space="preserve">para </w:t>
            </w:r>
            <w:r w:rsidR="009B6A13" w:rsidRPr="00036F9D">
              <w:rPr>
                <w:rFonts w:eastAsia="Times New Roman" w:cstheme="minorHAnsi"/>
                <w:color w:val="000000" w:themeColor="text1"/>
              </w:rPr>
              <w:t>24</w:t>
            </w:r>
            <w:r w:rsidR="00F53F1B">
              <w:rPr>
                <w:rFonts w:eastAsia="Times New Roman" w:cstheme="minorHAnsi"/>
                <w:color w:val="000000" w:themeColor="text1"/>
              </w:rPr>
              <w:t>.</w:t>
            </w:r>
            <w:r w:rsidR="003E0B22" w:rsidRPr="00036F9D">
              <w:rPr>
                <w:rFonts w:eastAsia="Times New Roman" w:cstheme="minorHAnsi"/>
                <w:color w:val="000000" w:themeColor="text1"/>
              </w:rPr>
              <w:t xml:space="preserve"> </w:t>
            </w:r>
          </w:p>
        </w:tc>
      </w:tr>
      <w:tr w:rsidR="00EB197E" w:rsidRPr="00036F9D" w14:paraId="66104438" w14:textId="0E4FFE8E" w:rsidTr="008D2ADD">
        <w:trPr>
          <w:trHeight w:val="476"/>
        </w:trPr>
        <w:tc>
          <w:tcPr>
            <w:tcW w:w="6941" w:type="dxa"/>
            <w:vAlign w:val="center"/>
          </w:tcPr>
          <w:p w14:paraId="23B15B82" w14:textId="212921C9" w:rsidR="002632C4" w:rsidRPr="00036F9D" w:rsidRDefault="002632C4" w:rsidP="00036F9D">
            <w:pPr>
              <w:pBdr>
                <w:top w:val="nil"/>
                <w:left w:val="nil"/>
                <w:bottom w:val="nil"/>
                <w:right w:val="nil"/>
                <w:between w:val="nil"/>
              </w:pBdr>
              <w:rPr>
                <w:rFonts w:cstheme="minorHAnsi"/>
                <w:color w:val="000000" w:themeColor="text1"/>
              </w:rPr>
            </w:pPr>
            <w:r w:rsidRPr="00036F9D">
              <w:rPr>
                <w:rFonts w:cstheme="minorHAnsi"/>
                <w:color w:val="000000" w:themeColor="text1"/>
              </w:rPr>
              <w:t>In spite of that the strategy has UN</w:t>
            </w:r>
            <w:r w:rsidR="000F3B60" w:rsidRPr="00036F9D">
              <w:rPr>
                <w:rFonts w:cstheme="minorHAnsi"/>
                <w:color w:val="000000" w:themeColor="text1"/>
              </w:rPr>
              <w:t>S</w:t>
            </w:r>
            <w:r w:rsidRPr="00036F9D">
              <w:rPr>
                <w:rFonts w:cstheme="minorHAnsi"/>
                <w:color w:val="000000" w:themeColor="text1"/>
              </w:rPr>
              <w:t>D</w:t>
            </w:r>
            <w:r w:rsidR="000F3B60" w:rsidRPr="00036F9D">
              <w:rPr>
                <w:rFonts w:cstheme="minorHAnsi"/>
                <w:color w:val="000000" w:themeColor="text1"/>
              </w:rPr>
              <w:t>C</w:t>
            </w:r>
            <w:r w:rsidRPr="00036F9D">
              <w:rPr>
                <w:rFonts w:cstheme="minorHAnsi"/>
                <w:color w:val="000000" w:themeColor="text1"/>
              </w:rPr>
              <w:t>F SP 4; Transformative, participatory and inclusive governance, as one of its priorities, the strategy does not have clear action in the draft programme to fight against corruption that aims to reduce poverty.</w:t>
            </w:r>
          </w:p>
        </w:tc>
        <w:tc>
          <w:tcPr>
            <w:tcW w:w="6824" w:type="dxa"/>
          </w:tcPr>
          <w:p w14:paraId="2DE53646" w14:textId="201F4849" w:rsidR="002632C4" w:rsidRPr="00036F9D" w:rsidRDefault="0041148D" w:rsidP="00E5119F">
            <w:pPr>
              <w:pBdr>
                <w:top w:val="nil"/>
                <w:left w:val="nil"/>
                <w:bottom w:val="nil"/>
                <w:right w:val="nil"/>
                <w:between w:val="nil"/>
              </w:pBdr>
              <w:tabs>
                <w:tab w:val="left" w:pos="540"/>
                <w:tab w:val="left" w:pos="900"/>
              </w:tabs>
              <w:spacing w:before="120" w:after="120"/>
              <w:ind w:right="270"/>
              <w:jc w:val="both"/>
              <w:rPr>
                <w:rFonts w:eastAsia="Times New Roman" w:cstheme="minorHAnsi"/>
                <w:color w:val="000000" w:themeColor="text1"/>
              </w:rPr>
            </w:pPr>
            <w:r w:rsidRPr="00036F9D">
              <w:rPr>
                <w:rFonts w:eastAsia="Times New Roman" w:cstheme="minorHAnsi"/>
                <w:color w:val="000000" w:themeColor="text1"/>
              </w:rPr>
              <w:t>The anti-corruption agenda</w:t>
            </w:r>
            <w:r w:rsidR="003B68F8" w:rsidRPr="00036F9D">
              <w:rPr>
                <w:rFonts w:eastAsia="Times New Roman" w:cstheme="minorHAnsi"/>
                <w:color w:val="000000" w:themeColor="text1"/>
              </w:rPr>
              <w:t xml:space="preserve"> will be pursued in the new programme cycle and this</w:t>
            </w:r>
            <w:r w:rsidRPr="00036F9D">
              <w:rPr>
                <w:rFonts w:eastAsia="Times New Roman" w:cstheme="minorHAnsi"/>
                <w:color w:val="000000" w:themeColor="text1"/>
              </w:rPr>
              <w:t xml:space="preserve"> is covered by the </w:t>
            </w:r>
            <w:r w:rsidRPr="00036F9D">
              <w:rPr>
                <w:rFonts w:cstheme="minorHAnsi"/>
                <w:color w:val="000000" w:themeColor="text1"/>
              </w:rPr>
              <w:t xml:space="preserve">implementation of the national integrity strategy </w:t>
            </w:r>
            <w:r w:rsidR="003B68F8" w:rsidRPr="00036F9D">
              <w:rPr>
                <w:rFonts w:cstheme="minorHAnsi"/>
                <w:color w:val="000000" w:themeColor="text1"/>
              </w:rPr>
              <w:t xml:space="preserve">referred to in </w:t>
            </w:r>
            <w:r w:rsidRPr="00036F9D">
              <w:rPr>
                <w:rFonts w:cstheme="minorHAnsi"/>
                <w:color w:val="000000" w:themeColor="text1"/>
              </w:rPr>
              <w:t xml:space="preserve">para 20. </w:t>
            </w:r>
          </w:p>
        </w:tc>
      </w:tr>
      <w:tr w:rsidR="00EB197E" w:rsidRPr="00036F9D" w14:paraId="7D5CDFB0" w14:textId="4D5FE71B" w:rsidTr="008D2ADD">
        <w:trPr>
          <w:trHeight w:val="476"/>
        </w:trPr>
        <w:tc>
          <w:tcPr>
            <w:tcW w:w="6941" w:type="dxa"/>
            <w:vAlign w:val="center"/>
          </w:tcPr>
          <w:p w14:paraId="191608D0" w14:textId="53430E28" w:rsidR="002632C4" w:rsidRPr="00036F9D" w:rsidRDefault="002632C4" w:rsidP="00036F9D">
            <w:pPr>
              <w:rPr>
                <w:rFonts w:cstheme="minorHAnsi"/>
                <w:color w:val="000000" w:themeColor="text1"/>
              </w:rPr>
            </w:pPr>
            <w:r w:rsidRPr="00036F9D">
              <w:rPr>
                <w:rFonts w:cstheme="minorHAnsi"/>
                <w:color w:val="000000" w:themeColor="text1"/>
              </w:rPr>
              <w:t xml:space="preserve">Related to Point 34 (under Monitoring and Evaluation) Also a third-party </w:t>
            </w:r>
            <w:r w:rsidRPr="00036F9D">
              <w:rPr>
                <w:rFonts w:cstheme="minorHAnsi"/>
                <w:b/>
                <w:bCs/>
                <w:color w:val="000000" w:themeColor="text1"/>
              </w:rPr>
              <w:t>Audit</w:t>
            </w:r>
            <w:r w:rsidRPr="00036F9D">
              <w:rPr>
                <w:rFonts w:cstheme="minorHAnsi"/>
                <w:color w:val="000000" w:themeColor="text1"/>
              </w:rPr>
              <w:t xml:space="preserve"> of Project /Program could be included to ensure transparency and accountability. Such a more innovative approach could significantly boost UNDPs effort on Zero Tolerance. </w:t>
            </w:r>
          </w:p>
        </w:tc>
        <w:tc>
          <w:tcPr>
            <w:tcW w:w="6824" w:type="dxa"/>
          </w:tcPr>
          <w:p w14:paraId="7331E22E" w14:textId="5F08D24E" w:rsidR="00E5119F" w:rsidRPr="00036F9D" w:rsidRDefault="00E5119F" w:rsidP="00E5119F">
            <w:pPr>
              <w:rPr>
                <w:rFonts w:cstheme="minorHAnsi"/>
                <w:color w:val="000000" w:themeColor="text1"/>
                <w:lang w:val="en-GB"/>
              </w:rPr>
            </w:pPr>
            <w:r w:rsidRPr="00036F9D">
              <w:rPr>
                <w:rFonts w:cstheme="minorHAnsi"/>
                <w:color w:val="000000" w:themeColor="text1"/>
                <w:lang w:val="en-GB"/>
              </w:rPr>
              <w:t>UNDP has an established audit policy</w:t>
            </w:r>
            <w:r w:rsidR="0041148D" w:rsidRPr="00036F9D">
              <w:rPr>
                <w:rFonts w:cstheme="minorHAnsi"/>
                <w:color w:val="000000" w:themeColor="text1"/>
                <w:lang w:val="en-GB"/>
              </w:rPr>
              <w:t xml:space="preserve"> globally</w:t>
            </w:r>
            <w:r w:rsidRPr="00036F9D">
              <w:rPr>
                <w:rFonts w:cstheme="minorHAnsi"/>
                <w:color w:val="000000" w:themeColor="text1"/>
                <w:lang w:val="en-GB"/>
              </w:rPr>
              <w:t xml:space="preserve">. All </w:t>
            </w:r>
            <w:r w:rsidR="000F3B60" w:rsidRPr="00036F9D">
              <w:rPr>
                <w:rFonts w:cstheme="minorHAnsi"/>
                <w:color w:val="000000" w:themeColor="text1"/>
                <w:lang w:val="en-GB"/>
              </w:rPr>
              <w:t xml:space="preserve">internal </w:t>
            </w:r>
            <w:r w:rsidRPr="00036F9D">
              <w:rPr>
                <w:rFonts w:cstheme="minorHAnsi"/>
                <w:color w:val="000000" w:themeColor="text1"/>
                <w:lang w:val="en-GB"/>
              </w:rPr>
              <w:t xml:space="preserve">audits are </w:t>
            </w:r>
            <w:r w:rsidR="0041148D" w:rsidRPr="00036F9D">
              <w:rPr>
                <w:rFonts w:cstheme="minorHAnsi"/>
                <w:color w:val="000000" w:themeColor="text1"/>
                <w:lang w:val="en-GB"/>
              </w:rPr>
              <w:t>carried out</w:t>
            </w:r>
            <w:r w:rsidRPr="00036F9D">
              <w:rPr>
                <w:rFonts w:cstheme="minorHAnsi"/>
                <w:color w:val="000000" w:themeColor="text1"/>
                <w:lang w:val="en-GB"/>
              </w:rPr>
              <w:t xml:space="preserve"> by </w:t>
            </w:r>
            <w:r w:rsidR="003B68F8" w:rsidRPr="00036F9D">
              <w:rPr>
                <w:rFonts w:cstheme="minorHAnsi"/>
                <w:color w:val="000000" w:themeColor="text1"/>
                <w:lang w:val="en-GB"/>
              </w:rPr>
              <w:t xml:space="preserve">the </w:t>
            </w:r>
            <w:r w:rsidRPr="00036F9D">
              <w:rPr>
                <w:rFonts w:cstheme="minorHAnsi"/>
                <w:color w:val="000000" w:themeColor="text1"/>
                <w:lang w:val="en-GB"/>
              </w:rPr>
              <w:t xml:space="preserve">independent Office of Audit and Investigation (OAI) that reports directly to the UNDP Executive Board. </w:t>
            </w:r>
            <w:r w:rsidR="001C496A" w:rsidRPr="00036F9D">
              <w:rPr>
                <w:rFonts w:cstheme="minorHAnsi"/>
                <w:color w:val="000000" w:themeColor="text1"/>
                <w:lang w:val="en-GB"/>
              </w:rPr>
              <w:t xml:space="preserve">All audit reports are publicly available, and the UNDP Resident Representative is held accountable for the implementation of audit recommendations. </w:t>
            </w:r>
          </w:p>
        </w:tc>
      </w:tr>
      <w:tr w:rsidR="002632C4" w:rsidRPr="00036F9D" w14:paraId="2D934BD4" w14:textId="5BBEE3B7" w:rsidTr="008D2ADD">
        <w:trPr>
          <w:trHeight w:val="476"/>
        </w:trPr>
        <w:tc>
          <w:tcPr>
            <w:tcW w:w="6941" w:type="dxa"/>
          </w:tcPr>
          <w:p w14:paraId="6EFE51C1" w14:textId="77777777" w:rsidR="002632C4" w:rsidRPr="00036F9D" w:rsidRDefault="002632C4" w:rsidP="00036F9D">
            <w:pPr>
              <w:pStyle w:val="ListParagraph"/>
              <w:numPr>
                <w:ilvl w:val="0"/>
                <w:numId w:val="18"/>
              </w:numPr>
              <w:rPr>
                <w:rFonts w:cstheme="minorHAnsi"/>
                <w:color w:val="000000" w:themeColor="text1"/>
              </w:rPr>
            </w:pPr>
            <w:r w:rsidRPr="00036F9D">
              <w:rPr>
                <w:rFonts w:eastAsia="Times New Roman" w:cstheme="minorHAnsi"/>
                <w:color w:val="000000" w:themeColor="text1"/>
              </w:rPr>
              <w:t>The strategy includes actions around supporting function and policies for a better market system but lacks actions to create conducive market (</w:t>
            </w:r>
            <w:r w:rsidRPr="00036F9D">
              <w:rPr>
                <w:rFonts w:cstheme="minorHAnsi"/>
                <w:color w:val="000000" w:themeColor="text1"/>
              </w:rPr>
              <w:t>local</w:t>
            </w:r>
            <w:r w:rsidRPr="00036F9D">
              <w:rPr>
                <w:rFonts w:eastAsia="Times New Roman" w:cstheme="minorHAnsi"/>
                <w:color w:val="000000" w:themeColor="text1"/>
              </w:rPr>
              <w:t>, regional, national and international) where the target group (women and vulnerable) can secure an access.  </w:t>
            </w:r>
          </w:p>
        </w:tc>
        <w:tc>
          <w:tcPr>
            <w:tcW w:w="6824" w:type="dxa"/>
          </w:tcPr>
          <w:p w14:paraId="4532B7A0" w14:textId="1716B29A" w:rsidR="000F3B60" w:rsidRPr="00036F9D" w:rsidRDefault="00F53F1B" w:rsidP="001C496A">
            <w:pPr>
              <w:rPr>
                <w:rFonts w:cstheme="minorHAnsi"/>
              </w:rPr>
            </w:pPr>
            <w:r>
              <w:rPr>
                <w:rFonts w:eastAsia="Times New Roman" w:cstheme="minorHAnsi"/>
                <w:color w:val="000000" w:themeColor="text1"/>
              </w:rPr>
              <w:t xml:space="preserve"> The planned </w:t>
            </w:r>
            <w:r w:rsidR="002B7862" w:rsidRPr="00036F9D">
              <w:rPr>
                <w:rFonts w:eastAsia="Times New Roman" w:cstheme="minorHAnsi"/>
                <w:color w:val="000000" w:themeColor="text1"/>
              </w:rPr>
              <w:t xml:space="preserve">UNDP interventions are not </w:t>
            </w:r>
            <w:r>
              <w:rPr>
                <w:rFonts w:eastAsia="Times New Roman" w:cstheme="minorHAnsi"/>
                <w:color w:val="000000" w:themeColor="text1"/>
              </w:rPr>
              <w:t xml:space="preserve">designed </w:t>
            </w:r>
            <w:r w:rsidR="002B7862" w:rsidRPr="00036F9D">
              <w:rPr>
                <w:rFonts w:eastAsia="Times New Roman" w:cstheme="minorHAnsi"/>
                <w:color w:val="000000" w:themeColor="text1"/>
              </w:rPr>
              <w:t>to create markets</w:t>
            </w:r>
            <w:r>
              <w:rPr>
                <w:rFonts w:eastAsia="Times New Roman" w:cstheme="minorHAnsi"/>
                <w:color w:val="000000" w:themeColor="text1"/>
              </w:rPr>
              <w:t>, which goes beyond the scope of our cooperation</w:t>
            </w:r>
            <w:r w:rsidR="002B7862" w:rsidRPr="00036F9D">
              <w:rPr>
                <w:rFonts w:eastAsia="Times New Roman" w:cstheme="minorHAnsi"/>
                <w:color w:val="000000" w:themeColor="text1"/>
              </w:rPr>
              <w:t xml:space="preserve">. Rather we </w:t>
            </w:r>
            <w:r>
              <w:rPr>
                <w:rFonts w:eastAsia="Times New Roman" w:cstheme="minorHAnsi"/>
                <w:color w:val="000000" w:themeColor="text1"/>
              </w:rPr>
              <w:t xml:space="preserve">aim to </w:t>
            </w:r>
            <w:r w:rsidR="002B7862" w:rsidRPr="00036F9D">
              <w:rPr>
                <w:rFonts w:eastAsia="Times New Roman" w:cstheme="minorHAnsi"/>
                <w:color w:val="000000" w:themeColor="text1"/>
              </w:rPr>
              <w:t>ensure small and medium enterprises</w:t>
            </w:r>
            <w:r w:rsidR="00D65959">
              <w:rPr>
                <w:rFonts w:eastAsia="Times New Roman" w:cstheme="minorHAnsi"/>
                <w:color w:val="000000" w:themeColor="text1"/>
              </w:rPr>
              <w:t xml:space="preserve"> have the capacity</w:t>
            </w:r>
            <w:r w:rsidR="002B7862" w:rsidRPr="00036F9D">
              <w:rPr>
                <w:rFonts w:eastAsia="Times New Roman" w:cstheme="minorHAnsi"/>
                <w:color w:val="000000" w:themeColor="text1"/>
              </w:rPr>
              <w:t xml:space="preserve"> to get access to (existing) markets. This emphasis is incorporated in the revised </w:t>
            </w:r>
            <w:r w:rsidR="001C496A" w:rsidRPr="00036F9D">
              <w:rPr>
                <w:rFonts w:eastAsia="Times New Roman" w:cstheme="minorHAnsi"/>
                <w:color w:val="000000" w:themeColor="text1"/>
              </w:rPr>
              <w:t>para 14</w:t>
            </w:r>
            <w:r w:rsidR="002B7862" w:rsidRPr="00036F9D">
              <w:rPr>
                <w:rFonts w:eastAsia="Times New Roman" w:cstheme="minorHAnsi"/>
                <w:color w:val="000000" w:themeColor="text1"/>
              </w:rPr>
              <w:t xml:space="preserve"> </w:t>
            </w:r>
            <w:r w:rsidR="00D65959">
              <w:rPr>
                <w:rFonts w:eastAsia="Times New Roman" w:cstheme="minorHAnsi"/>
                <w:color w:val="000000" w:themeColor="text1"/>
              </w:rPr>
              <w:t xml:space="preserve">(c) in particular.  </w:t>
            </w:r>
          </w:p>
        </w:tc>
      </w:tr>
      <w:tr w:rsidR="00EB197E" w:rsidRPr="00036F9D" w14:paraId="218C0B4A" w14:textId="7384DFC0" w:rsidTr="008D2ADD">
        <w:trPr>
          <w:trHeight w:val="476"/>
        </w:trPr>
        <w:tc>
          <w:tcPr>
            <w:tcW w:w="6941" w:type="dxa"/>
            <w:shd w:val="clear" w:color="auto" w:fill="00B0F0"/>
            <w:vAlign w:val="center"/>
          </w:tcPr>
          <w:p w14:paraId="4E86B9A0" w14:textId="41892454" w:rsidR="002632C4" w:rsidRPr="00036F9D" w:rsidRDefault="002632C4" w:rsidP="00EF2FE0">
            <w:pPr>
              <w:jc w:val="center"/>
              <w:rPr>
                <w:rFonts w:cstheme="minorHAnsi"/>
                <w:b/>
                <w:color w:val="000000" w:themeColor="text1"/>
              </w:rPr>
            </w:pPr>
            <w:r w:rsidRPr="00036F9D">
              <w:rPr>
                <w:rFonts w:cstheme="minorHAnsi"/>
                <w:b/>
                <w:color w:val="000000" w:themeColor="text1"/>
              </w:rPr>
              <w:lastRenderedPageBreak/>
              <w:t xml:space="preserve">Comments by </w:t>
            </w:r>
            <w:r w:rsidR="00EF2FE0">
              <w:rPr>
                <w:rFonts w:cstheme="minorHAnsi"/>
                <w:b/>
                <w:color w:val="000000" w:themeColor="text1"/>
              </w:rPr>
              <w:t xml:space="preserve">the </w:t>
            </w:r>
            <w:r w:rsidRPr="00036F9D">
              <w:rPr>
                <w:rFonts w:cstheme="minorHAnsi"/>
                <w:b/>
                <w:color w:val="000000" w:themeColor="text1"/>
              </w:rPr>
              <w:t xml:space="preserve">UK </w:t>
            </w:r>
          </w:p>
        </w:tc>
        <w:tc>
          <w:tcPr>
            <w:tcW w:w="6824" w:type="dxa"/>
            <w:shd w:val="clear" w:color="auto" w:fill="00B0F0"/>
            <w:vAlign w:val="center"/>
          </w:tcPr>
          <w:p w14:paraId="4B88B0AD" w14:textId="22BF6BE7" w:rsidR="002632C4" w:rsidRPr="00036F9D" w:rsidRDefault="00EF2FE0" w:rsidP="00EF2FE0">
            <w:pPr>
              <w:jc w:val="center"/>
              <w:rPr>
                <w:rFonts w:cstheme="minorHAnsi"/>
                <w:b/>
                <w:color w:val="000000" w:themeColor="text1"/>
              </w:rPr>
            </w:pPr>
            <w:r w:rsidRPr="00036F9D">
              <w:rPr>
                <w:rFonts w:cstheme="minorHAnsi"/>
                <w:b/>
                <w:color w:val="000000" w:themeColor="text1"/>
              </w:rPr>
              <w:t>Country Office Responses</w:t>
            </w:r>
          </w:p>
        </w:tc>
      </w:tr>
      <w:tr w:rsidR="00EB197E" w:rsidRPr="00036F9D" w14:paraId="1F829039" w14:textId="55EEB44A" w:rsidTr="008D2ADD">
        <w:trPr>
          <w:trHeight w:val="476"/>
        </w:trPr>
        <w:tc>
          <w:tcPr>
            <w:tcW w:w="6941" w:type="dxa"/>
            <w:vAlign w:val="center"/>
          </w:tcPr>
          <w:p w14:paraId="7B1CEB7A" w14:textId="38169A5D" w:rsidR="002632C4" w:rsidRPr="00EF2FE0" w:rsidRDefault="002632C4" w:rsidP="00EF2FE0">
            <w:pPr>
              <w:rPr>
                <w:rFonts w:cstheme="minorHAnsi"/>
                <w:color w:val="000000" w:themeColor="text1"/>
              </w:rPr>
            </w:pPr>
            <w:r w:rsidRPr="00EF2FE0">
              <w:rPr>
                <w:rFonts w:cstheme="minorHAnsi"/>
                <w:color w:val="000000" w:themeColor="text1"/>
              </w:rPr>
              <w:t xml:space="preserve">It is unclear why the 2020 baseline for Indicative Indicator 2.1.1. (Number of people adopted diversified, climate-resilient livelihood options), is zero, whereas most other indicators have a 2020 baseline well above zero.  </w:t>
            </w:r>
          </w:p>
        </w:tc>
        <w:tc>
          <w:tcPr>
            <w:tcW w:w="6824" w:type="dxa"/>
          </w:tcPr>
          <w:p w14:paraId="418753BF" w14:textId="76A2D0C0" w:rsidR="002632C4" w:rsidRPr="00036F9D" w:rsidRDefault="00901B79" w:rsidP="00ED5A39">
            <w:pPr>
              <w:rPr>
                <w:rFonts w:cstheme="minorHAnsi"/>
                <w:color w:val="000000" w:themeColor="text1"/>
              </w:rPr>
            </w:pPr>
            <w:r w:rsidRPr="00036F9D">
              <w:rPr>
                <w:rFonts w:cstheme="minorHAnsi"/>
                <w:color w:val="000000" w:themeColor="text1"/>
              </w:rPr>
              <w:t>The comment is well n</w:t>
            </w:r>
            <w:r w:rsidR="007B5B45" w:rsidRPr="00036F9D">
              <w:rPr>
                <w:rFonts w:cstheme="minorHAnsi"/>
                <w:color w:val="000000" w:themeColor="text1"/>
              </w:rPr>
              <w:t xml:space="preserve">oted. The baseline of the indicator will be determined in advance of starting any new activities. </w:t>
            </w:r>
            <w:r w:rsidR="00D65959">
              <w:rPr>
                <w:rFonts w:cstheme="minorHAnsi"/>
                <w:color w:val="000000" w:themeColor="text1"/>
              </w:rPr>
              <w:t>Accordingly, r</w:t>
            </w:r>
            <w:r w:rsidR="002B7862" w:rsidRPr="00036F9D">
              <w:rPr>
                <w:rFonts w:cstheme="minorHAnsi"/>
                <w:color w:val="000000" w:themeColor="text1"/>
              </w:rPr>
              <w:t xml:space="preserve">evision is made </w:t>
            </w:r>
            <w:r w:rsidR="00D65959">
              <w:rPr>
                <w:rFonts w:cstheme="minorHAnsi"/>
                <w:color w:val="000000" w:themeColor="text1"/>
              </w:rPr>
              <w:t>to</w:t>
            </w:r>
            <w:r w:rsidR="00D65959" w:rsidRPr="00036F9D">
              <w:rPr>
                <w:rFonts w:cstheme="minorHAnsi"/>
                <w:color w:val="000000" w:themeColor="text1"/>
              </w:rPr>
              <w:t xml:space="preserve"> </w:t>
            </w:r>
            <w:r w:rsidR="002B7862" w:rsidRPr="00036F9D">
              <w:rPr>
                <w:rFonts w:cstheme="minorHAnsi"/>
                <w:color w:val="000000" w:themeColor="text1"/>
              </w:rPr>
              <w:t>indicator 2.1.1 of the RRF by changing t</w:t>
            </w:r>
            <w:r w:rsidRPr="00036F9D">
              <w:rPr>
                <w:rFonts w:cstheme="minorHAnsi"/>
                <w:color w:val="000000" w:themeColor="text1"/>
              </w:rPr>
              <w:t>he baseline from ‘</w:t>
            </w:r>
            <w:r w:rsidR="007B5B45" w:rsidRPr="00036F9D">
              <w:rPr>
                <w:rFonts w:cstheme="minorHAnsi"/>
                <w:color w:val="000000" w:themeColor="text1"/>
              </w:rPr>
              <w:t>zero</w:t>
            </w:r>
            <w:r w:rsidRPr="00036F9D">
              <w:rPr>
                <w:rFonts w:cstheme="minorHAnsi"/>
                <w:color w:val="000000" w:themeColor="text1"/>
              </w:rPr>
              <w:t>’</w:t>
            </w:r>
            <w:r w:rsidR="007B5B45" w:rsidRPr="00036F9D">
              <w:rPr>
                <w:rFonts w:cstheme="minorHAnsi"/>
                <w:color w:val="000000" w:themeColor="text1"/>
              </w:rPr>
              <w:t xml:space="preserve"> to </w:t>
            </w:r>
            <w:r w:rsidRPr="00036F9D">
              <w:rPr>
                <w:rFonts w:cstheme="minorHAnsi"/>
                <w:color w:val="000000" w:themeColor="text1"/>
              </w:rPr>
              <w:t>‘</w:t>
            </w:r>
            <w:r w:rsidR="007B5B45" w:rsidRPr="00036F9D">
              <w:rPr>
                <w:rFonts w:cstheme="minorHAnsi"/>
                <w:color w:val="000000" w:themeColor="text1"/>
              </w:rPr>
              <w:t>TBD</w:t>
            </w:r>
            <w:r w:rsidRPr="00036F9D">
              <w:rPr>
                <w:rFonts w:cstheme="minorHAnsi"/>
                <w:color w:val="000000" w:themeColor="text1"/>
              </w:rPr>
              <w:t xml:space="preserve">’ </w:t>
            </w:r>
          </w:p>
        </w:tc>
      </w:tr>
      <w:tr w:rsidR="00ED5A39" w:rsidRPr="00036F9D" w14:paraId="08712356" w14:textId="7FA4B08E" w:rsidTr="008D2ADD">
        <w:trPr>
          <w:trHeight w:val="476"/>
        </w:trPr>
        <w:tc>
          <w:tcPr>
            <w:tcW w:w="6941" w:type="dxa"/>
          </w:tcPr>
          <w:p w14:paraId="42D1DF52" w14:textId="32D2DA12" w:rsidR="002632C4" w:rsidRPr="00EF2FE0" w:rsidRDefault="002632C4" w:rsidP="00EF2FE0">
            <w:pPr>
              <w:rPr>
                <w:rFonts w:cstheme="minorHAnsi"/>
                <w:color w:val="000000" w:themeColor="text1"/>
              </w:rPr>
            </w:pPr>
            <w:r w:rsidRPr="00EF2FE0">
              <w:rPr>
                <w:rFonts w:cstheme="minorHAnsi"/>
                <w:color w:val="000000" w:themeColor="text1"/>
              </w:rPr>
              <w:t>UNDPs role in advocating for the implementation of the peace accord in Chittagong Hill Tracts has been crucial in the past. The 4 year programme documents fails to lay out a clear strategy or a target (at outcome or output level) to work with the government to improve indicators in the region.</w:t>
            </w:r>
          </w:p>
        </w:tc>
        <w:tc>
          <w:tcPr>
            <w:tcW w:w="6824" w:type="dxa"/>
          </w:tcPr>
          <w:p w14:paraId="025F2E47" w14:textId="7061D456" w:rsidR="00EB197E" w:rsidRPr="00036F9D" w:rsidRDefault="00CB22D2" w:rsidP="004E6290">
            <w:pPr>
              <w:rPr>
                <w:rFonts w:cstheme="minorHAnsi"/>
                <w:color w:val="000000" w:themeColor="text1"/>
              </w:rPr>
            </w:pPr>
            <w:r w:rsidRPr="00036F9D">
              <w:rPr>
                <w:rFonts w:cstheme="minorHAnsi"/>
                <w:color w:val="000000" w:themeColor="text1"/>
              </w:rPr>
              <w:t xml:space="preserve">The comment is well noted. </w:t>
            </w:r>
            <w:r w:rsidR="00EB197E" w:rsidRPr="00036F9D">
              <w:rPr>
                <w:rFonts w:cstheme="minorHAnsi"/>
                <w:color w:val="000000" w:themeColor="text1"/>
              </w:rPr>
              <w:t xml:space="preserve">UNDP will </w:t>
            </w:r>
            <w:r w:rsidRPr="00036F9D">
              <w:rPr>
                <w:rFonts w:cstheme="minorHAnsi"/>
                <w:color w:val="000000" w:themeColor="text1"/>
              </w:rPr>
              <w:t xml:space="preserve">continue </w:t>
            </w:r>
            <w:r w:rsidR="00EB197E" w:rsidRPr="00036F9D">
              <w:rPr>
                <w:rFonts w:cstheme="minorHAnsi"/>
                <w:color w:val="000000" w:themeColor="text1"/>
              </w:rPr>
              <w:t>assist</w:t>
            </w:r>
            <w:r w:rsidRPr="00036F9D">
              <w:rPr>
                <w:rFonts w:cstheme="minorHAnsi"/>
                <w:color w:val="000000" w:themeColor="text1"/>
              </w:rPr>
              <w:t>ing</w:t>
            </w:r>
            <w:r w:rsidR="00EB197E" w:rsidRPr="00036F9D">
              <w:rPr>
                <w:rFonts w:cstheme="minorHAnsi"/>
                <w:color w:val="000000" w:themeColor="text1"/>
              </w:rPr>
              <w:t xml:space="preserve"> the government in the implementation of the Peace Accord in Chittagong Hill Tracts through the localization of the Sustainable Development Goals in lagging districts including CHT</w:t>
            </w:r>
            <w:r w:rsidRPr="00036F9D">
              <w:rPr>
                <w:rFonts w:cstheme="minorHAnsi"/>
                <w:color w:val="000000" w:themeColor="text1"/>
              </w:rPr>
              <w:t xml:space="preserve">. </w:t>
            </w:r>
          </w:p>
          <w:p w14:paraId="2CFA61D4" w14:textId="77777777" w:rsidR="00BE6FA5" w:rsidRPr="00036F9D" w:rsidRDefault="00BE6FA5" w:rsidP="004E6290">
            <w:pPr>
              <w:rPr>
                <w:rFonts w:cstheme="minorHAnsi"/>
                <w:bCs/>
                <w:color w:val="000000" w:themeColor="text1"/>
              </w:rPr>
            </w:pPr>
          </w:p>
          <w:p w14:paraId="7617A320" w14:textId="3246EE53" w:rsidR="007B5B45" w:rsidRPr="00036F9D" w:rsidRDefault="00CB22D2" w:rsidP="004E6290">
            <w:pPr>
              <w:rPr>
                <w:rFonts w:cstheme="minorHAnsi"/>
                <w:color w:val="000000" w:themeColor="text1"/>
              </w:rPr>
            </w:pPr>
            <w:r w:rsidRPr="00036F9D">
              <w:rPr>
                <w:rFonts w:cstheme="minorHAnsi"/>
                <w:color w:val="000000" w:themeColor="text1"/>
              </w:rPr>
              <w:t>It should also be noted that a</w:t>
            </w:r>
            <w:r w:rsidR="007B5B45" w:rsidRPr="00036F9D">
              <w:rPr>
                <w:rFonts w:cstheme="minorHAnsi"/>
                <w:color w:val="000000" w:themeColor="text1"/>
              </w:rPr>
              <w:t xml:space="preserve">ll of UNDP work in CHT </w:t>
            </w:r>
            <w:r w:rsidR="00D65959">
              <w:rPr>
                <w:rFonts w:cstheme="minorHAnsi"/>
                <w:color w:val="000000" w:themeColor="text1"/>
              </w:rPr>
              <w:t>is</w:t>
            </w:r>
            <w:r w:rsidR="00D65959" w:rsidRPr="00036F9D">
              <w:rPr>
                <w:rFonts w:cstheme="minorHAnsi"/>
                <w:color w:val="000000" w:themeColor="text1"/>
              </w:rPr>
              <w:t xml:space="preserve"> </w:t>
            </w:r>
            <w:r w:rsidR="007B5B45" w:rsidRPr="00036F9D">
              <w:rPr>
                <w:rFonts w:cstheme="minorHAnsi"/>
                <w:color w:val="000000" w:themeColor="text1"/>
              </w:rPr>
              <w:t xml:space="preserve">around peace preservation. </w:t>
            </w:r>
            <w:r w:rsidR="00D65959">
              <w:rPr>
                <w:rFonts w:cstheme="minorHAnsi"/>
                <w:color w:val="000000" w:themeColor="text1"/>
              </w:rPr>
              <w:t>This</w:t>
            </w:r>
            <w:r w:rsidR="00D65959" w:rsidRPr="00036F9D">
              <w:rPr>
                <w:rFonts w:cstheme="minorHAnsi"/>
                <w:color w:val="000000" w:themeColor="text1"/>
              </w:rPr>
              <w:t xml:space="preserve"> </w:t>
            </w:r>
            <w:r w:rsidR="007B5B45" w:rsidRPr="00036F9D">
              <w:rPr>
                <w:rFonts w:cstheme="minorHAnsi"/>
                <w:color w:val="000000" w:themeColor="text1"/>
              </w:rPr>
              <w:t xml:space="preserve">will continue and evolve with time. </w:t>
            </w:r>
          </w:p>
          <w:p w14:paraId="2EDD1529" w14:textId="77777777" w:rsidR="00EF2FE0" w:rsidRDefault="00EF2FE0" w:rsidP="00ED5A39">
            <w:pPr>
              <w:rPr>
                <w:rFonts w:cstheme="minorHAnsi"/>
                <w:bCs/>
                <w:color w:val="000000" w:themeColor="text1"/>
              </w:rPr>
            </w:pPr>
          </w:p>
          <w:p w14:paraId="6C16468C" w14:textId="22624425" w:rsidR="007B5B45" w:rsidRPr="00036F9D" w:rsidRDefault="004E6290" w:rsidP="00ED5A39">
            <w:pPr>
              <w:rPr>
                <w:rFonts w:cstheme="minorHAnsi"/>
                <w:bCs/>
                <w:color w:val="000000" w:themeColor="text1"/>
              </w:rPr>
            </w:pPr>
            <w:r w:rsidRPr="00036F9D">
              <w:rPr>
                <w:rFonts w:cstheme="minorHAnsi"/>
                <w:bCs/>
                <w:color w:val="000000" w:themeColor="text1"/>
              </w:rPr>
              <w:t xml:space="preserve">MoCHTA </w:t>
            </w:r>
            <w:r w:rsidR="00EB197E" w:rsidRPr="00036F9D">
              <w:rPr>
                <w:rFonts w:cstheme="minorHAnsi"/>
                <w:bCs/>
                <w:color w:val="000000" w:themeColor="text1"/>
              </w:rPr>
              <w:t xml:space="preserve">is included </w:t>
            </w:r>
            <w:r w:rsidRPr="00036F9D">
              <w:rPr>
                <w:rFonts w:cstheme="minorHAnsi"/>
                <w:bCs/>
                <w:color w:val="000000" w:themeColor="text1"/>
              </w:rPr>
              <w:t>as a partner for all 3 outcomes</w:t>
            </w:r>
            <w:r w:rsidR="00464075" w:rsidRPr="00036F9D">
              <w:rPr>
                <w:rFonts w:cstheme="minorHAnsi"/>
                <w:bCs/>
                <w:color w:val="000000" w:themeColor="text1"/>
              </w:rPr>
              <w:t xml:space="preserve"> and this has been reflected in the RRF.</w:t>
            </w:r>
          </w:p>
        </w:tc>
      </w:tr>
      <w:tr w:rsidR="00EB197E" w:rsidRPr="00036F9D" w14:paraId="256ABA09" w14:textId="5A2233F0" w:rsidTr="008D2ADD">
        <w:trPr>
          <w:trHeight w:val="476"/>
        </w:trPr>
        <w:tc>
          <w:tcPr>
            <w:tcW w:w="6941" w:type="dxa"/>
            <w:shd w:val="clear" w:color="auto" w:fill="00B0F0"/>
            <w:vAlign w:val="center"/>
          </w:tcPr>
          <w:p w14:paraId="69F63561" w14:textId="45437B37" w:rsidR="002632C4" w:rsidRPr="00036F9D" w:rsidRDefault="002632C4" w:rsidP="0085111E">
            <w:pPr>
              <w:jc w:val="center"/>
              <w:rPr>
                <w:rFonts w:cstheme="minorHAnsi"/>
                <w:b/>
                <w:color w:val="000000" w:themeColor="text1"/>
              </w:rPr>
            </w:pPr>
            <w:r w:rsidRPr="00036F9D">
              <w:rPr>
                <w:rFonts w:cstheme="minorHAnsi"/>
                <w:b/>
                <w:color w:val="000000" w:themeColor="text1"/>
              </w:rPr>
              <w:t xml:space="preserve">Comments by Denmark </w:t>
            </w:r>
          </w:p>
        </w:tc>
        <w:tc>
          <w:tcPr>
            <w:tcW w:w="6824" w:type="dxa"/>
            <w:shd w:val="clear" w:color="auto" w:fill="00B0F0"/>
            <w:vAlign w:val="center"/>
          </w:tcPr>
          <w:p w14:paraId="6D2F55DA" w14:textId="00C74CB2" w:rsidR="002632C4" w:rsidRPr="00036F9D" w:rsidRDefault="00371C85" w:rsidP="0085111E">
            <w:pPr>
              <w:jc w:val="center"/>
              <w:rPr>
                <w:rFonts w:cstheme="minorHAnsi"/>
                <w:b/>
                <w:color w:val="000000" w:themeColor="text1"/>
              </w:rPr>
            </w:pPr>
            <w:r w:rsidRPr="00036F9D">
              <w:rPr>
                <w:rFonts w:cstheme="minorHAnsi"/>
                <w:b/>
                <w:color w:val="000000" w:themeColor="text1"/>
              </w:rPr>
              <w:t>Country Office Responses</w:t>
            </w:r>
          </w:p>
        </w:tc>
      </w:tr>
      <w:tr w:rsidR="00EB197E" w:rsidRPr="00036F9D" w14:paraId="73F7A558" w14:textId="4BFD79F7" w:rsidTr="008D2ADD">
        <w:trPr>
          <w:trHeight w:val="699"/>
        </w:trPr>
        <w:tc>
          <w:tcPr>
            <w:tcW w:w="6941" w:type="dxa"/>
            <w:vAlign w:val="center"/>
          </w:tcPr>
          <w:p w14:paraId="0A6F9F0C" w14:textId="77777777" w:rsidR="002632C4" w:rsidRPr="00EF2FE0" w:rsidRDefault="002632C4" w:rsidP="00EF2FE0">
            <w:pPr>
              <w:rPr>
                <w:rFonts w:cstheme="minorHAnsi"/>
                <w:color w:val="000000" w:themeColor="text1"/>
              </w:rPr>
            </w:pPr>
            <w:r w:rsidRPr="00EF2FE0">
              <w:rPr>
                <w:rFonts w:cstheme="minorHAnsi"/>
                <w:b/>
                <w:color w:val="000000" w:themeColor="text1"/>
              </w:rPr>
              <w:t>Outcome 1/ Outcome 3:</w:t>
            </w:r>
          </w:p>
          <w:p w14:paraId="77599A3E" w14:textId="77777777" w:rsidR="00EF2FE0" w:rsidRDefault="00EF2FE0" w:rsidP="00ED5A39">
            <w:pPr>
              <w:rPr>
                <w:rFonts w:cstheme="minorHAnsi"/>
                <w:color w:val="000000" w:themeColor="text1"/>
              </w:rPr>
            </w:pPr>
          </w:p>
          <w:p w14:paraId="4839FEFA" w14:textId="69C9A205" w:rsidR="002632C4" w:rsidRPr="00036F9D" w:rsidRDefault="002632C4" w:rsidP="00ED5A39">
            <w:pPr>
              <w:rPr>
                <w:rFonts w:cstheme="minorHAnsi"/>
                <w:color w:val="000000" w:themeColor="text1"/>
              </w:rPr>
            </w:pPr>
            <w:r w:rsidRPr="00036F9D">
              <w:rPr>
                <w:rFonts w:cstheme="minorHAnsi"/>
                <w:color w:val="000000" w:themeColor="text1"/>
              </w:rPr>
              <w:t xml:space="preserve">While UNDP acknowledges that implementation of the Peace Accord remains incomplete, and plans to continue support for democratization and strengthening of decentralized governance institutions, UNDP does not indicate any concrete efforts in working with the Government of Bangladesh (GOB) towards increased implementation of elements of the Peace Accord. Since UNDP is the UN body best positioned with the GOB on this front, it may be worth taking on a stronger leadership role in order to promote meaningful impact in the implementation of the Accord. </w:t>
            </w:r>
          </w:p>
        </w:tc>
        <w:tc>
          <w:tcPr>
            <w:tcW w:w="6824" w:type="dxa"/>
          </w:tcPr>
          <w:p w14:paraId="503AC736" w14:textId="74D176E8" w:rsidR="00EB197E" w:rsidRPr="00036F9D" w:rsidRDefault="00022D8B" w:rsidP="00EB197E">
            <w:pPr>
              <w:rPr>
                <w:rFonts w:cstheme="minorHAnsi"/>
                <w:color w:val="000000" w:themeColor="text1"/>
              </w:rPr>
            </w:pPr>
            <w:r w:rsidRPr="00036F9D">
              <w:rPr>
                <w:rFonts w:cstheme="minorHAnsi"/>
                <w:bCs/>
                <w:color w:val="000000" w:themeColor="text1"/>
              </w:rPr>
              <w:t>The comment</w:t>
            </w:r>
            <w:r w:rsidR="00EF2FE0">
              <w:rPr>
                <w:rFonts w:cstheme="minorHAnsi"/>
                <w:bCs/>
                <w:color w:val="000000" w:themeColor="text1"/>
              </w:rPr>
              <w:t xml:space="preserve"> is </w:t>
            </w:r>
            <w:r w:rsidRPr="00036F9D">
              <w:rPr>
                <w:rFonts w:cstheme="minorHAnsi"/>
                <w:bCs/>
                <w:color w:val="000000" w:themeColor="text1"/>
              </w:rPr>
              <w:t xml:space="preserve">well noted. </w:t>
            </w:r>
            <w:r w:rsidR="00F051F3" w:rsidRPr="00036F9D">
              <w:rPr>
                <w:rFonts w:cstheme="minorHAnsi"/>
                <w:bCs/>
                <w:color w:val="000000" w:themeColor="text1"/>
              </w:rPr>
              <w:t xml:space="preserve">With </w:t>
            </w:r>
            <w:r w:rsidRPr="00036F9D">
              <w:rPr>
                <w:rFonts w:cstheme="minorHAnsi"/>
                <w:bCs/>
                <w:color w:val="000000" w:themeColor="text1"/>
              </w:rPr>
              <w:t xml:space="preserve">UNDP’s comparative advantage </w:t>
            </w:r>
            <w:r w:rsidR="00F051F3" w:rsidRPr="00036F9D">
              <w:rPr>
                <w:rFonts w:cstheme="minorHAnsi"/>
                <w:bCs/>
                <w:color w:val="000000" w:themeColor="text1"/>
              </w:rPr>
              <w:t>being</w:t>
            </w:r>
            <w:r w:rsidRPr="00036F9D">
              <w:rPr>
                <w:rFonts w:cstheme="minorHAnsi"/>
                <w:bCs/>
                <w:color w:val="000000" w:themeColor="text1"/>
              </w:rPr>
              <w:t xml:space="preserve"> its long standing and widespread field presence together with community confidence</w:t>
            </w:r>
            <w:r w:rsidR="00F051F3" w:rsidRPr="00036F9D">
              <w:rPr>
                <w:rFonts w:cstheme="minorHAnsi"/>
                <w:bCs/>
                <w:color w:val="000000" w:themeColor="text1"/>
              </w:rPr>
              <w:t>,</w:t>
            </w:r>
            <w:r w:rsidRPr="00036F9D">
              <w:rPr>
                <w:rFonts w:cstheme="minorHAnsi"/>
                <w:bCs/>
                <w:color w:val="000000" w:themeColor="text1"/>
              </w:rPr>
              <w:t xml:space="preserve"> </w:t>
            </w:r>
            <w:r w:rsidR="00EB197E" w:rsidRPr="00036F9D">
              <w:rPr>
                <w:rFonts w:cstheme="minorHAnsi"/>
                <w:color w:val="000000" w:themeColor="text1"/>
              </w:rPr>
              <w:t xml:space="preserve">UNDP will </w:t>
            </w:r>
            <w:r w:rsidR="00F051F3" w:rsidRPr="00036F9D">
              <w:rPr>
                <w:rFonts w:cstheme="minorHAnsi"/>
                <w:color w:val="000000" w:themeColor="text1"/>
              </w:rPr>
              <w:t xml:space="preserve">continue </w:t>
            </w:r>
            <w:r w:rsidR="00EB197E" w:rsidRPr="00036F9D">
              <w:rPr>
                <w:rFonts w:cstheme="minorHAnsi"/>
                <w:color w:val="000000" w:themeColor="text1"/>
              </w:rPr>
              <w:t>assist</w:t>
            </w:r>
            <w:r w:rsidR="00F051F3" w:rsidRPr="00036F9D">
              <w:rPr>
                <w:rFonts w:cstheme="minorHAnsi"/>
                <w:color w:val="000000" w:themeColor="text1"/>
              </w:rPr>
              <w:t>ing</w:t>
            </w:r>
            <w:r w:rsidR="00EB197E" w:rsidRPr="00036F9D">
              <w:rPr>
                <w:rFonts w:cstheme="minorHAnsi"/>
                <w:color w:val="000000" w:themeColor="text1"/>
              </w:rPr>
              <w:t xml:space="preserve"> the government in the implementation of the Peace Accord in Chittagong Hill Tracts through the localization of the Sustainable Development Goals in lagging districts </w:t>
            </w:r>
            <w:r w:rsidR="00F051F3" w:rsidRPr="00036F9D">
              <w:rPr>
                <w:rFonts w:cstheme="minorHAnsi"/>
                <w:color w:val="000000" w:themeColor="text1"/>
              </w:rPr>
              <w:t xml:space="preserve">as mentioned in </w:t>
            </w:r>
            <w:r w:rsidR="00EB197E" w:rsidRPr="00036F9D">
              <w:rPr>
                <w:rFonts w:cstheme="minorHAnsi"/>
                <w:color w:val="000000" w:themeColor="text1"/>
              </w:rPr>
              <w:t>para 9(a)</w:t>
            </w:r>
            <w:r w:rsidR="00F051F3" w:rsidRPr="00036F9D">
              <w:rPr>
                <w:rFonts w:cstheme="minorHAnsi"/>
                <w:color w:val="000000" w:themeColor="text1"/>
              </w:rPr>
              <w:t>.</w:t>
            </w:r>
          </w:p>
          <w:p w14:paraId="799294C0" w14:textId="77777777" w:rsidR="00F93E87" w:rsidRPr="00036F9D" w:rsidRDefault="00F93E87" w:rsidP="00EB197E">
            <w:pPr>
              <w:rPr>
                <w:rFonts w:cstheme="minorHAnsi"/>
                <w:bCs/>
                <w:color w:val="000000" w:themeColor="text1"/>
              </w:rPr>
            </w:pPr>
          </w:p>
          <w:p w14:paraId="563CD69D" w14:textId="5D79F805" w:rsidR="00D236CE" w:rsidRPr="00036F9D" w:rsidRDefault="00F93E87" w:rsidP="00ED5A39">
            <w:pPr>
              <w:rPr>
                <w:rFonts w:cstheme="minorHAnsi"/>
                <w:bCs/>
                <w:color w:val="000000" w:themeColor="text1"/>
              </w:rPr>
            </w:pPr>
            <w:r w:rsidRPr="00036F9D">
              <w:rPr>
                <w:rFonts w:cstheme="minorHAnsi"/>
                <w:bCs/>
                <w:color w:val="000000" w:themeColor="text1"/>
              </w:rPr>
              <w:t>MoCHTA is included as a partner for all 3 outcomes and this has been reflected in the RRF.</w:t>
            </w:r>
          </w:p>
        </w:tc>
      </w:tr>
      <w:tr w:rsidR="00EB197E" w:rsidRPr="00036F9D" w14:paraId="1F4194AB" w14:textId="77777777" w:rsidTr="008D2ADD">
        <w:trPr>
          <w:trHeight w:val="476"/>
        </w:trPr>
        <w:tc>
          <w:tcPr>
            <w:tcW w:w="6941" w:type="dxa"/>
          </w:tcPr>
          <w:p w14:paraId="7B90A21B" w14:textId="06583B37" w:rsidR="00ED5A39" w:rsidRPr="00036F9D" w:rsidRDefault="00ED5A39" w:rsidP="00036F9D">
            <w:pPr>
              <w:rPr>
                <w:rFonts w:cstheme="minorHAnsi"/>
                <w:color w:val="000000" w:themeColor="text1"/>
              </w:rPr>
            </w:pPr>
            <w:r w:rsidRPr="00036F9D">
              <w:rPr>
                <w:rFonts w:cstheme="minorHAnsi"/>
                <w:color w:val="000000" w:themeColor="text1"/>
              </w:rPr>
              <w:t xml:space="preserve">There is also a need for UNDP to play a strong role in the HUM-DEV nexus in Cox’s Bazaar. It is not clear why the Ministry of Chittagong Hill Tracts Affairs (MOCHTA) is not mentioned anywhere in the stakeholder analysis as one of the major partners, </w:t>
            </w:r>
            <w:r w:rsidRPr="00036F9D">
              <w:rPr>
                <w:rFonts w:eastAsia="Times New Roman" w:cstheme="minorHAnsi"/>
                <w:color w:val="000000" w:themeColor="text1"/>
              </w:rPr>
              <w:t>when</w:t>
            </w:r>
            <w:r w:rsidRPr="00036F9D">
              <w:rPr>
                <w:rFonts w:cstheme="minorHAnsi"/>
                <w:color w:val="000000" w:themeColor="text1"/>
              </w:rPr>
              <w:t xml:space="preserve"> UNDP is planning to work with MOCHTA until 2026 through the Strengthening Inclusive Development in </w:t>
            </w:r>
            <w:r w:rsidRPr="00036F9D">
              <w:rPr>
                <w:rFonts w:cstheme="minorHAnsi"/>
                <w:color w:val="000000" w:themeColor="text1"/>
              </w:rPr>
              <w:lastRenderedPageBreak/>
              <w:t>Chittagong Hill Tracts (SID-CHT) project, the extension for which they are working on now. In fact, MOCHTA is not mentioned anywhere in the document.</w:t>
            </w:r>
          </w:p>
        </w:tc>
        <w:tc>
          <w:tcPr>
            <w:tcW w:w="6824" w:type="dxa"/>
          </w:tcPr>
          <w:p w14:paraId="1D9AB6E3" w14:textId="72E53A40" w:rsidR="00ED5A39" w:rsidRPr="00036F9D" w:rsidRDefault="00A75AE4" w:rsidP="00ED5A39">
            <w:pPr>
              <w:rPr>
                <w:rFonts w:cstheme="minorHAnsi"/>
                <w:bCs/>
                <w:color w:val="000000" w:themeColor="text1"/>
              </w:rPr>
            </w:pPr>
            <w:r w:rsidRPr="00036F9D">
              <w:rPr>
                <w:rFonts w:cstheme="minorHAnsi"/>
                <w:bCs/>
                <w:color w:val="000000" w:themeColor="text1"/>
              </w:rPr>
              <w:lastRenderedPageBreak/>
              <w:t xml:space="preserve">The comment is well noted. Due to limited words allowed for the CPD, we are not able </w:t>
            </w:r>
            <w:r w:rsidR="008D2ADD" w:rsidRPr="00036F9D">
              <w:rPr>
                <w:rFonts w:cstheme="minorHAnsi"/>
                <w:bCs/>
                <w:color w:val="000000" w:themeColor="text1"/>
              </w:rPr>
              <w:t xml:space="preserve">to </w:t>
            </w:r>
            <w:r w:rsidR="008D2ADD">
              <w:rPr>
                <w:rFonts w:cstheme="minorHAnsi"/>
                <w:bCs/>
                <w:color w:val="000000" w:themeColor="text1"/>
              </w:rPr>
              <w:t>elaborate</w:t>
            </w:r>
            <w:r w:rsidR="00D65959">
              <w:rPr>
                <w:rFonts w:cstheme="minorHAnsi"/>
                <w:bCs/>
                <w:color w:val="000000" w:themeColor="text1"/>
              </w:rPr>
              <w:t xml:space="preserve"> </w:t>
            </w:r>
            <w:r w:rsidRPr="00036F9D">
              <w:rPr>
                <w:rFonts w:cstheme="minorHAnsi"/>
                <w:bCs/>
                <w:color w:val="000000" w:themeColor="text1"/>
              </w:rPr>
              <w:t xml:space="preserve">as </w:t>
            </w:r>
            <w:r w:rsidR="00D65959">
              <w:rPr>
                <w:rFonts w:cstheme="minorHAnsi"/>
                <w:bCs/>
                <w:color w:val="000000" w:themeColor="text1"/>
              </w:rPr>
              <w:t xml:space="preserve">much as </w:t>
            </w:r>
            <w:r w:rsidRPr="00036F9D">
              <w:rPr>
                <w:rFonts w:cstheme="minorHAnsi"/>
                <w:bCs/>
                <w:color w:val="000000" w:themeColor="text1"/>
              </w:rPr>
              <w:t xml:space="preserve">we would have wished. However, risk </w:t>
            </w:r>
            <w:r w:rsidR="008D2ADD" w:rsidRPr="00036F9D">
              <w:rPr>
                <w:rFonts w:cstheme="minorHAnsi"/>
                <w:bCs/>
                <w:color w:val="000000" w:themeColor="text1"/>
              </w:rPr>
              <w:t>informed,</w:t>
            </w:r>
            <w:r w:rsidR="00ED5A39" w:rsidRPr="00036F9D">
              <w:rPr>
                <w:rFonts w:cstheme="minorHAnsi"/>
                <w:bCs/>
                <w:color w:val="000000" w:themeColor="text1"/>
              </w:rPr>
              <w:t xml:space="preserve"> and climate resilient development is one of the priorities of the country programme. The issue of HUM-DEV nexus </w:t>
            </w:r>
            <w:r w:rsidR="0036317F" w:rsidRPr="00036F9D">
              <w:rPr>
                <w:rFonts w:cstheme="minorHAnsi"/>
                <w:bCs/>
                <w:color w:val="000000" w:themeColor="text1"/>
              </w:rPr>
              <w:t xml:space="preserve">will be </w:t>
            </w:r>
            <w:r w:rsidR="00ED5A39" w:rsidRPr="00036F9D">
              <w:rPr>
                <w:rFonts w:cstheme="minorHAnsi"/>
                <w:bCs/>
                <w:color w:val="000000" w:themeColor="text1"/>
              </w:rPr>
              <w:t xml:space="preserve">addressed </w:t>
            </w:r>
            <w:r w:rsidR="0036317F" w:rsidRPr="00036F9D">
              <w:rPr>
                <w:rFonts w:cstheme="minorHAnsi"/>
                <w:bCs/>
                <w:color w:val="000000" w:themeColor="text1"/>
              </w:rPr>
              <w:lastRenderedPageBreak/>
              <w:t xml:space="preserve">not only in Cox’s Bazar but in all lagging districts as mentioned </w:t>
            </w:r>
            <w:r w:rsidR="00ED5A39" w:rsidRPr="00036F9D">
              <w:rPr>
                <w:rFonts w:cstheme="minorHAnsi"/>
                <w:bCs/>
                <w:color w:val="000000" w:themeColor="text1"/>
              </w:rPr>
              <w:t xml:space="preserve">in </w:t>
            </w:r>
            <w:r w:rsidRPr="00036F9D">
              <w:rPr>
                <w:rFonts w:cstheme="minorHAnsi"/>
                <w:bCs/>
                <w:color w:val="000000" w:themeColor="text1"/>
              </w:rPr>
              <w:t xml:space="preserve">the revised </w:t>
            </w:r>
            <w:r w:rsidR="00ED5A39" w:rsidRPr="00036F9D">
              <w:rPr>
                <w:rFonts w:cstheme="minorHAnsi"/>
                <w:bCs/>
                <w:color w:val="000000" w:themeColor="text1"/>
              </w:rPr>
              <w:t>para 24</w:t>
            </w:r>
            <w:r w:rsidR="00D65959">
              <w:rPr>
                <w:rFonts w:cstheme="minorHAnsi"/>
                <w:bCs/>
                <w:color w:val="000000" w:themeColor="text1"/>
              </w:rPr>
              <w:t>.</w:t>
            </w:r>
            <w:r w:rsidRPr="00036F9D">
              <w:rPr>
                <w:rFonts w:cstheme="minorHAnsi"/>
                <w:bCs/>
                <w:color w:val="000000" w:themeColor="text1"/>
              </w:rPr>
              <w:t xml:space="preserve"> </w:t>
            </w:r>
          </w:p>
          <w:p w14:paraId="20630EB9" w14:textId="77777777" w:rsidR="00ED5A39" w:rsidRPr="00036F9D" w:rsidRDefault="00ED5A39" w:rsidP="00ED5A39">
            <w:pPr>
              <w:rPr>
                <w:rFonts w:cstheme="minorHAnsi"/>
                <w:bCs/>
                <w:color w:val="000000" w:themeColor="text1"/>
              </w:rPr>
            </w:pPr>
          </w:p>
          <w:p w14:paraId="76A7D274" w14:textId="67182C16" w:rsidR="00ED5A39" w:rsidRPr="00036F9D" w:rsidRDefault="00ED5A39" w:rsidP="00642B1D">
            <w:pPr>
              <w:rPr>
                <w:rFonts w:cstheme="minorHAnsi"/>
                <w:bCs/>
                <w:color w:val="000000" w:themeColor="text1"/>
              </w:rPr>
            </w:pPr>
            <w:r w:rsidRPr="00036F9D">
              <w:rPr>
                <w:rFonts w:cstheme="minorHAnsi"/>
                <w:bCs/>
                <w:color w:val="000000" w:themeColor="text1"/>
              </w:rPr>
              <w:t>The omission of MOCHTA in the document is an oversight. It is now included</w:t>
            </w:r>
            <w:r w:rsidR="00F051F3" w:rsidRPr="00036F9D">
              <w:rPr>
                <w:rFonts w:cstheme="minorHAnsi"/>
                <w:bCs/>
                <w:color w:val="000000" w:themeColor="text1"/>
              </w:rPr>
              <w:t xml:space="preserve"> in the RRF</w:t>
            </w:r>
            <w:r w:rsidRPr="00036F9D">
              <w:rPr>
                <w:rFonts w:cstheme="minorHAnsi"/>
                <w:bCs/>
                <w:color w:val="000000" w:themeColor="text1"/>
              </w:rPr>
              <w:t xml:space="preserve">. </w:t>
            </w:r>
          </w:p>
        </w:tc>
      </w:tr>
      <w:tr w:rsidR="00EB197E" w:rsidRPr="00036F9D" w14:paraId="5C68E5A5" w14:textId="770235B9" w:rsidTr="008D2ADD">
        <w:trPr>
          <w:trHeight w:val="476"/>
        </w:trPr>
        <w:tc>
          <w:tcPr>
            <w:tcW w:w="6941" w:type="dxa"/>
            <w:vAlign w:val="center"/>
          </w:tcPr>
          <w:p w14:paraId="7E8F09B7" w14:textId="77777777" w:rsidR="002632C4" w:rsidRPr="00036F9D" w:rsidRDefault="002632C4" w:rsidP="00036F9D">
            <w:pPr>
              <w:rPr>
                <w:rFonts w:cstheme="minorHAnsi"/>
                <w:b/>
                <w:color w:val="000000" w:themeColor="text1"/>
              </w:rPr>
            </w:pPr>
            <w:r w:rsidRPr="00036F9D">
              <w:rPr>
                <w:rFonts w:cstheme="minorHAnsi"/>
                <w:b/>
                <w:color w:val="000000" w:themeColor="text1"/>
              </w:rPr>
              <w:t>Outcome 2 (Linked with strategic planning outcome 3):</w:t>
            </w:r>
          </w:p>
          <w:p w14:paraId="27755C76" w14:textId="17C9E21C" w:rsidR="002632C4" w:rsidRPr="00036F9D" w:rsidRDefault="002632C4" w:rsidP="0085111E">
            <w:pPr>
              <w:rPr>
                <w:rFonts w:cstheme="minorHAnsi"/>
                <w:color w:val="000000" w:themeColor="text1"/>
              </w:rPr>
            </w:pPr>
            <w:r w:rsidRPr="00036F9D">
              <w:rPr>
                <w:rFonts w:cstheme="minorHAnsi"/>
                <w:color w:val="000000" w:themeColor="text1"/>
              </w:rPr>
              <w:t xml:space="preserve">Output 2.1 is clearly linked to the requirement of individuals, </w:t>
            </w:r>
            <w:r w:rsidR="00EF2FE0" w:rsidRPr="00036F9D">
              <w:rPr>
                <w:rFonts w:cstheme="minorHAnsi"/>
                <w:color w:val="000000" w:themeColor="text1"/>
              </w:rPr>
              <w:t>institutions,</w:t>
            </w:r>
            <w:r w:rsidRPr="00036F9D">
              <w:rPr>
                <w:rFonts w:cstheme="minorHAnsi"/>
                <w:color w:val="000000" w:themeColor="text1"/>
              </w:rPr>
              <w:t xml:space="preserve"> and actors with regard to climate change adaptation. However, there are no references in relation to investing in loss and damage considering the country’s vulnerability and priority with respect to climate change. Currently the GOB’s Standing Order on Disaster (SOD) has a strong focus on this and the upcoming COP 26 is expected to have outcomes on the loss and damage agenda (e.g. Forecast based Action/FbA, reinsurance/risk insurance and more). Given that UNDP is strategically placed as a strong advocate both at the grassroots level and with the GOB on climate change and environment, it could focus further on capacity building in this area. UNDP could undertake consultations with a view to identifying context specific solutions for the upcoming policy formulation and implementation.</w:t>
            </w:r>
          </w:p>
        </w:tc>
        <w:tc>
          <w:tcPr>
            <w:tcW w:w="6824" w:type="dxa"/>
          </w:tcPr>
          <w:p w14:paraId="2AD4019B" w14:textId="341EB3C7" w:rsidR="002632C4" w:rsidRPr="00036F9D" w:rsidRDefault="0053651E" w:rsidP="00642B1D">
            <w:pPr>
              <w:rPr>
                <w:rFonts w:cstheme="minorHAnsi"/>
                <w:bCs/>
                <w:color w:val="000000" w:themeColor="text1"/>
              </w:rPr>
            </w:pPr>
            <w:r w:rsidRPr="00036F9D">
              <w:rPr>
                <w:rFonts w:cstheme="minorHAnsi"/>
                <w:bCs/>
                <w:color w:val="000000" w:themeColor="text1"/>
              </w:rPr>
              <w:t xml:space="preserve">Our </w:t>
            </w:r>
            <w:r w:rsidR="004319EC" w:rsidRPr="00036F9D">
              <w:rPr>
                <w:rFonts w:cstheme="minorHAnsi"/>
                <w:bCs/>
                <w:color w:val="000000" w:themeColor="text1"/>
              </w:rPr>
              <w:t xml:space="preserve">work </w:t>
            </w:r>
            <w:r w:rsidRPr="00036F9D">
              <w:rPr>
                <w:rFonts w:cstheme="minorHAnsi"/>
                <w:bCs/>
                <w:color w:val="000000" w:themeColor="text1"/>
              </w:rPr>
              <w:t>on climate (para 17) covers all tracks of the Paris Agreement (adaptation, mitigation, loss and damage)</w:t>
            </w:r>
            <w:r w:rsidR="004319EC" w:rsidRPr="00036F9D">
              <w:rPr>
                <w:rFonts w:cstheme="minorHAnsi"/>
                <w:bCs/>
                <w:color w:val="000000" w:themeColor="text1"/>
              </w:rPr>
              <w:t xml:space="preserve"> and has a wide range of interventions including capacity building, policy formulation and support </w:t>
            </w:r>
            <w:r w:rsidR="00496F08" w:rsidRPr="00036F9D">
              <w:rPr>
                <w:rFonts w:cstheme="minorHAnsi"/>
                <w:bCs/>
                <w:color w:val="000000" w:themeColor="text1"/>
              </w:rPr>
              <w:t xml:space="preserve">to </w:t>
            </w:r>
            <w:r w:rsidR="004319EC" w:rsidRPr="00036F9D">
              <w:rPr>
                <w:rFonts w:cstheme="minorHAnsi"/>
                <w:bCs/>
                <w:color w:val="000000" w:themeColor="text1"/>
              </w:rPr>
              <w:t>implementation</w:t>
            </w:r>
            <w:r w:rsidRPr="00036F9D">
              <w:rPr>
                <w:rFonts w:cstheme="minorHAnsi"/>
                <w:bCs/>
                <w:color w:val="000000" w:themeColor="text1"/>
              </w:rPr>
              <w:t xml:space="preserve">. UNDP will further intensify </w:t>
            </w:r>
            <w:r w:rsidR="004319EC" w:rsidRPr="00036F9D">
              <w:rPr>
                <w:rFonts w:cstheme="minorHAnsi"/>
                <w:bCs/>
                <w:color w:val="000000" w:themeColor="text1"/>
              </w:rPr>
              <w:t xml:space="preserve">our </w:t>
            </w:r>
            <w:r w:rsidRPr="00036F9D">
              <w:rPr>
                <w:rFonts w:cstheme="minorHAnsi"/>
                <w:bCs/>
                <w:color w:val="000000" w:themeColor="text1"/>
              </w:rPr>
              <w:t xml:space="preserve">support to </w:t>
            </w:r>
            <w:r w:rsidR="00496F08" w:rsidRPr="00036F9D">
              <w:rPr>
                <w:rFonts w:cstheme="minorHAnsi"/>
                <w:bCs/>
                <w:color w:val="000000" w:themeColor="text1"/>
              </w:rPr>
              <w:t xml:space="preserve">the Government, </w:t>
            </w:r>
            <w:r w:rsidRPr="00036F9D">
              <w:rPr>
                <w:rFonts w:cstheme="minorHAnsi"/>
                <w:bCs/>
                <w:color w:val="000000" w:themeColor="text1"/>
              </w:rPr>
              <w:t xml:space="preserve">communities, private sector, </w:t>
            </w:r>
            <w:r w:rsidR="00496F08" w:rsidRPr="00036F9D">
              <w:rPr>
                <w:rFonts w:cstheme="minorHAnsi"/>
                <w:bCs/>
                <w:color w:val="000000" w:themeColor="text1"/>
              </w:rPr>
              <w:t xml:space="preserve">and </w:t>
            </w:r>
            <w:r w:rsidRPr="00036F9D">
              <w:rPr>
                <w:rFonts w:cstheme="minorHAnsi"/>
                <w:bCs/>
                <w:color w:val="000000" w:themeColor="text1"/>
              </w:rPr>
              <w:t xml:space="preserve">CSOs to </w:t>
            </w:r>
            <w:r w:rsidR="00E42159" w:rsidRPr="00036F9D">
              <w:rPr>
                <w:rFonts w:cstheme="minorHAnsi"/>
                <w:bCs/>
                <w:color w:val="000000" w:themeColor="text1"/>
              </w:rPr>
              <w:t xml:space="preserve">strengthen capacities for </w:t>
            </w:r>
            <w:r w:rsidRPr="00036F9D">
              <w:rPr>
                <w:rFonts w:cstheme="minorHAnsi"/>
                <w:bCs/>
                <w:color w:val="000000" w:themeColor="text1"/>
              </w:rPr>
              <w:t xml:space="preserve">climate and disaster risk management </w:t>
            </w:r>
            <w:r w:rsidR="00803F4D" w:rsidRPr="00036F9D">
              <w:rPr>
                <w:rFonts w:cstheme="minorHAnsi"/>
                <w:bCs/>
                <w:color w:val="000000" w:themeColor="text1"/>
              </w:rPr>
              <w:t>and fit for purpose policy formulation</w:t>
            </w:r>
            <w:r w:rsidRPr="00036F9D">
              <w:rPr>
                <w:rFonts w:cstheme="minorHAnsi"/>
                <w:bCs/>
                <w:color w:val="000000" w:themeColor="text1"/>
              </w:rPr>
              <w:t xml:space="preserve">. This will include locally suitable means such as </w:t>
            </w:r>
            <w:r w:rsidR="00E42159" w:rsidRPr="00036F9D">
              <w:rPr>
                <w:rFonts w:cstheme="minorHAnsi"/>
                <w:bCs/>
                <w:color w:val="000000" w:themeColor="text1"/>
              </w:rPr>
              <w:t xml:space="preserve">forecast </w:t>
            </w:r>
            <w:r w:rsidRPr="00036F9D">
              <w:rPr>
                <w:rFonts w:cstheme="minorHAnsi"/>
                <w:bCs/>
                <w:color w:val="000000" w:themeColor="text1"/>
              </w:rPr>
              <w:t xml:space="preserve">based </w:t>
            </w:r>
            <w:r w:rsidR="00E42159" w:rsidRPr="00036F9D">
              <w:rPr>
                <w:rFonts w:cstheme="minorHAnsi"/>
                <w:bCs/>
                <w:color w:val="000000" w:themeColor="text1"/>
              </w:rPr>
              <w:t>a</w:t>
            </w:r>
            <w:r w:rsidRPr="00036F9D">
              <w:rPr>
                <w:rFonts w:cstheme="minorHAnsi"/>
                <w:bCs/>
                <w:color w:val="000000" w:themeColor="text1"/>
              </w:rPr>
              <w:t>ction</w:t>
            </w:r>
            <w:r w:rsidR="00E42159" w:rsidRPr="00036F9D">
              <w:rPr>
                <w:rFonts w:cstheme="minorHAnsi"/>
                <w:bCs/>
                <w:color w:val="000000" w:themeColor="text1"/>
              </w:rPr>
              <w:t xml:space="preserve"> and insurance</w:t>
            </w:r>
            <w:r w:rsidRPr="00036F9D">
              <w:rPr>
                <w:rFonts w:cstheme="minorHAnsi"/>
                <w:bCs/>
                <w:color w:val="000000" w:themeColor="text1"/>
              </w:rPr>
              <w:t xml:space="preserve">. </w:t>
            </w:r>
          </w:p>
        </w:tc>
      </w:tr>
      <w:tr w:rsidR="002632C4" w:rsidRPr="00036F9D" w14:paraId="33A41EE1" w14:textId="224E537A" w:rsidTr="008D2ADD">
        <w:trPr>
          <w:trHeight w:val="1621"/>
        </w:trPr>
        <w:tc>
          <w:tcPr>
            <w:tcW w:w="6941" w:type="dxa"/>
          </w:tcPr>
          <w:p w14:paraId="3F3ECF6C" w14:textId="77777777" w:rsidR="002632C4" w:rsidRPr="00036F9D" w:rsidRDefault="002632C4" w:rsidP="0085111E">
            <w:pPr>
              <w:rPr>
                <w:rFonts w:cstheme="minorHAnsi"/>
                <w:b/>
                <w:color w:val="000000" w:themeColor="text1"/>
              </w:rPr>
            </w:pPr>
            <w:r w:rsidRPr="00036F9D">
              <w:rPr>
                <w:rFonts w:cstheme="minorHAnsi"/>
                <w:b/>
                <w:color w:val="000000" w:themeColor="text1"/>
              </w:rPr>
              <w:t xml:space="preserve">Outcome 3 </w:t>
            </w:r>
          </w:p>
          <w:p w14:paraId="2D2E0F7E" w14:textId="77777777" w:rsidR="00036F9D" w:rsidRDefault="00036F9D" w:rsidP="00036F9D">
            <w:pPr>
              <w:rPr>
                <w:rFonts w:cstheme="minorHAnsi"/>
                <w:color w:val="000000" w:themeColor="text1"/>
              </w:rPr>
            </w:pPr>
          </w:p>
          <w:p w14:paraId="6DF6E460" w14:textId="3451476E" w:rsidR="002632C4" w:rsidRPr="00036F9D" w:rsidRDefault="002632C4" w:rsidP="00036F9D">
            <w:pPr>
              <w:rPr>
                <w:rFonts w:cstheme="minorHAnsi"/>
                <w:color w:val="000000" w:themeColor="text1"/>
              </w:rPr>
            </w:pPr>
            <w:r w:rsidRPr="00036F9D">
              <w:rPr>
                <w:rFonts w:cstheme="minorHAnsi"/>
                <w:color w:val="000000" w:themeColor="text1"/>
              </w:rPr>
              <w:t xml:space="preserve">This outcome is very much aligned with the policy regimes especially the 8 Five Year Plan (8 FYP) of Bangladesh, which also strongly emphasizes the importance of inclusion, equality and non-discrimination, participation and proactive public integration of all including the religious minorities, disadvantaged groups and women; elimination of gender discrimination and violence against women, installation and strengthening of transparency of the functional processes of the Local Government Institutes (LGIs).  Furthermore, the 8FYP also highlights the importance of allocating additional resources for the LGIs for promoting gender equality with specific and targeted results. The programme interventions appear to be complementary to the 8FYP which also aims to install inclusive and gender-sensitive citizen accountability mechanisms through social </w:t>
            </w:r>
            <w:r w:rsidRPr="00036F9D">
              <w:rPr>
                <w:rFonts w:cstheme="minorHAnsi"/>
                <w:color w:val="000000" w:themeColor="text1"/>
              </w:rPr>
              <w:lastRenderedPageBreak/>
              <w:t>partnership, inclusion, and promoting gender equality in all formal institutions including the local governments.  Furthermore, Outcome 3 is consistent with the long-term goal of Perspective Plan 2041, to further strengthen the democratic governance process to ensure participation of all citizens as well as installing functionally effective democratic institutions at all levels. The proposed outcome could also be complementary to reaching out to the poor and vulnerable groups with a transparent and effective social security benefits payment system and likely to reduce the gender disparity in the financial inclusion process.</w:t>
            </w:r>
          </w:p>
        </w:tc>
        <w:tc>
          <w:tcPr>
            <w:tcW w:w="6824" w:type="dxa"/>
          </w:tcPr>
          <w:p w14:paraId="4C77B463" w14:textId="77777777" w:rsidR="00EF2FE0" w:rsidRDefault="00EF2FE0" w:rsidP="0085111E">
            <w:pPr>
              <w:rPr>
                <w:rFonts w:cstheme="minorHAnsi"/>
                <w:bCs/>
                <w:color w:val="000000" w:themeColor="text1"/>
              </w:rPr>
            </w:pPr>
          </w:p>
          <w:p w14:paraId="31E543B1" w14:textId="0A98603F" w:rsidR="00A354E3" w:rsidRPr="00036F9D" w:rsidRDefault="00D65959" w:rsidP="00646487">
            <w:pPr>
              <w:rPr>
                <w:rFonts w:cstheme="minorHAnsi"/>
                <w:bCs/>
                <w:color w:val="000000" w:themeColor="text1"/>
              </w:rPr>
            </w:pPr>
            <w:r>
              <w:rPr>
                <w:rFonts w:cstheme="minorHAnsi"/>
                <w:bCs/>
                <w:color w:val="000000" w:themeColor="text1"/>
              </w:rPr>
              <w:t>The</w:t>
            </w:r>
            <w:r w:rsidRPr="00036F9D">
              <w:rPr>
                <w:rFonts w:cstheme="minorHAnsi"/>
                <w:bCs/>
                <w:color w:val="000000" w:themeColor="text1"/>
              </w:rPr>
              <w:t xml:space="preserve"> </w:t>
            </w:r>
            <w:r w:rsidR="00E64660" w:rsidRPr="00036F9D">
              <w:rPr>
                <w:rFonts w:cstheme="minorHAnsi"/>
                <w:bCs/>
                <w:color w:val="000000" w:themeColor="text1"/>
              </w:rPr>
              <w:t xml:space="preserve">assessment </w:t>
            </w:r>
            <w:r w:rsidR="00E42159" w:rsidRPr="00036F9D">
              <w:rPr>
                <w:rFonts w:cstheme="minorHAnsi"/>
                <w:bCs/>
                <w:color w:val="000000" w:themeColor="text1"/>
              </w:rPr>
              <w:t xml:space="preserve">is </w:t>
            </w:r>
            <w:r w:rsidR="00E64660" w:rsidRPr="00036F9D">
              <w:rPr>
                <w:rFonts w:cstheme="minorHAnsi"/>
                <w:bCs/>
                <w:color w:val="000000" w:themeColor="text1"/>
              </w:rPr>
              <w:t xml:space="preserve">well </w:t>
            </w:r>
            <w:r w:rsidR="00E42159" w:rsidRPr="00036F9D">
              <w:rPr>
                <w:rFonts w:cstheme="minorHAnsi"/>
                <w:bCs/>
                <w:color w:val="000000" w:themeColor="text1"/>
              </w:rPr>
              <w:t>noted with appreciation</w:t>
            </w:r>
            <w:r w:rsidR="00E64660" w:rsidRPr="00036F9D">
              <w:rPr>
                <w:rFonts w:cstheme="minorHAnsi"/>
                <w:bCs/>
                <w:color w:val="000000" w:themeColor="text1"/>
              </w:rPr>
              <w:t>.</w:t>
            </w:r>
          </w:p>
        </w:tc>
      </w:tr>
      <w:tr w:rsidR="00E64660" w:rsidRPr="00036F9D" w14:paraId="4C9E8C00" w14:textId="77777777" w:rsidTr="008D2ADD">
        <w:trPr>
          <w:trHeight w:val="476"/>
        </w:trPr>
        <w:tc>
          <w:tcPr>
            <w:tcW w:w="6941" w:type="dxa"/>
            <w:vAlign w:val="center"/>
          </w:tcPr>
          <w:p w14:paraId="33DC3532" w14:textId="184FA36A" w:rsidR="00E64660" w:rsidRPr="00036F9D" w:rsidRDefault="00E64660" w:rsidP="00036F9D">
            <w:pPr>
              <w:rPr>
                <w:rFonts w:cstheme="minorHAnsi"/>
                <w:color w:val="000000" w:themeColor="text1"/>
              </w:rPr>
            </w:pPr>
            <w:r w:rsidRPr="00036F9D">
              <w:rPr>
                <w:rFonts w:cstheme="minorHAnsi"/>
                <w:color w:val="000000" w:themeColor="text1"/>
              </w:rPr>
              <w:t>The proposed program aims to further strengthen the Government, Parliament, judiciary, and oversight institutions towards improved accountability and transparency at multiple levels.  This component is also very much one of the priority areas of the GoB. The 8 FYP plan recognizes the need for improving governance by strengthening democratic accountability and transparency. The project therefore would directly supplement and support the further strengthening of the oversight institutions towards enhancing the quality of performance and effectiveness.</w:t>
            </w:r>
          </w:p>
        </w:tc>
        <w:tc>
          <w:tcPr>
            <w:tcW w:w="6824" w:type="dxa"/>
          </w:tcPr>
          <w:p w14:paraId="21F1999B" w14:textId="2943015F" w:rsidR="00E64660" w:rsidRPr="00036F9D" w:rsidRDefault="00D65959" w:rsidP="0085111E">
            <w:pPr>
              <w:rPr>
                <w:rFonts w:cstheme="minorHAnsi"/>
                <w:bCs/>
                <w:color w:val="000000" w:themeColor="text1"/>
              </w:rPr>
            </w:pPr>
            <w:r>
              <w:rPr>
                <w:rFonts w:cstheme="minorHAnsi"/>
                <w:bCs/>
                <w:color w:val="000000" w:themeColor="text1"/>
              </w:rPr>
              <w:t>The</w:t>
            </w:r>
            <w:r w:rsidRPr="00036F9D">
              <w:rPr>
                <w:rFonts w:cstheme="minorHAnsi"/>
                <w:bCs/>
                <w:color w:val="000000" w:themeColor="text1"/>
              </w:rPr>
              <w:t xml:space="preserve"> </w:t>
            </w:r>
            <w:r w:rsidR="00E64660" w:rsidRPr="00036F9D">
              <w:rPr>
                <w:rFonts w:cstheme="minorHAnsi"/>
                <w:bCs/>
                <w:color w:val="000000" w:themeColor="text1"/>
              </w:rPr>
              <w:t>assessment is well noted with appreciation.</w:t>
            </w:r>
          </w:p>
        </w:tc>
      </w:tr>
      <w:tr w:rsidR="00E64660" w:rsidRPr="00036F9D" w14:paraId="67131C96" w14:textId="77777777" w:rsidTr="008D2ADD">
        <w:trPr>
          <w:trHeight w:val="476"/>
        </w:trPr>
        <w:tc>
          <w:tcPr>
            <w:tcW w:w="6941" w:type="dxa"/>
            <w:vAlign w:val="center"/>
          </w:tcPr>
          <w:p w14:paraId="2C119124" w14:textId="6A85886C" w:rsidR="00E64660" w:rsidRPr="00036F9D" w:rsidRDefault="00E64660" w:rsidP="00036F9D">
            <w:pPr>
              <w:rPr>
                <w:rFonts w:cstheme="minorHAnsi"/>
                <w:color w:val="000000" w:themeColor="text1"/>
              </w:rPr>
            </w:pPr>
            <w:r w:rsidRPr="00036F9D">
              <w:rPr>
                <w:rFonts w:cstheme="minorHAnsi"/>
                <w:color w:val="000000" w:themeColor="text1"/>
              </w:rPr>
              <w:t xml:space="preserve">In terms of the synergy and vertical linkages, the “bottom-up” work of the NGOs at the local level should continue to be linked with the country-wide supply side activities in areas such as advocacy, support to legal framework and efficiency in the work of the National Human Rights Commission (NHRC), as well as core ministries promoting the rights and conditions for vulnerable groups.  </w:t>
            </w:r>
          </w:p>
        </w:tc>
        <w:tc>
          <w:tcPr>
            <w:tcW w:w="6824" w:type="dxa"/>
          </w:tcPr>
          <w:p w14:paraId="38F9ED58" w14:textId="2290D4DE" w:rsidR="00E64660" w:rsidRPr="00036F9D" w:rsidRDefault="00D65959" w:rsidP="0085111E">
            <w:pPr>
              <w:rPr>
                <w:rFonts w:cstheme="minorHAnsi"/>
                <w:bCs/>
                <w:color w:val="000000" w:themeColor="text1"/>
              </w:rPr>
            </w:pPr>
            <w:r>
              <w:rPr>
                <w:rFonts w:cstheme="minorHAnsi"/>
                <w:bCs/>
                <w:color w:val="000000" w:themeColor="text1"/>
              </w:rPr>
              <w:t>The</w:t>
            </w:r>
            <w:r w:rsidRPr="00036F9D">
              <w:rPr>
                <w:rFonts w:cstheme="minorHAnsi"/>
                <w:bCs/>
                <w:color w:val="000000" w:themeColor="text1"/>
              </w:rPr>
              <w:t xml:space="preserve"> </w:t>
            </w:r>
            <w:r w:rsidR="00E64660" w:rsidRPr="00036F9D">
              <w:rPr>
                <w:rFonts w:cstheme="minorHAnsi"/>
                <w:bCs/>
                <w:color w:val="000000" w:themeColor="text1"/>
              </w:rPr>
              <w:t xml:space="preserve">comment is well noted and </w:t>
            </w:r>
            <w:r w:rsidR="00741484" w:rsidRPr="00036F9D">
              <w:rPr>
                <w:rFonts w:cstheme="minorHAnsi"/>
                <w:bCs/>
                <w:color w:val="000000" w:themeColor="text1"/>
              </w:rPr>
              <w:t xml:space="preserve">this strategy of linking the ‘bottom-up’ at the local level with policy work at the national level will continue in the new Country Programme. </w:t>
            </w:r>
          </w:p>
        </w:tc>
      </w:tr>
      <w:tr w:rsidR="00E64660" w:rsidRPr="00036F9D" w14:paraId="2995046C" w14:textId="77777777" w:rsidTr="008D2ADD">
        <w:trPr>
          <w:trHeight w:val="476"/>
        </w:trPr>
        <w:tc>
          <w:tcPr>
            <w:tcW w:w="6941" w:type="dxa"/>
          </w:tcPr>
          <w:p w14:paraId="08820A8E" w14:textId="545C0824" w:rsidR="00E64660" w:rsidRPr="00036F9D" w:rsidRDefault="00E64660" w:rsidP="00036F9D">
            <w:pPr>
              <w:rPr>
                <w:rFonts w:cstheme="minorHAnsi"/>
                <w:b/>
                <w:color w:val="000000" w:themeColor="text1"/>
              </w:rPr>
            </w:pPr>
            <w:r w:rsidRPr="00036F9D">
              <w:rPr>
                <w:rFonts w:cstheme="minorHAnsi"/>
                <w:color w:val="000000" w:themeColor="text1"/>
              </w:rPr>
              <w:t>The Standing Committees at the Union Parishad, the lowest administrative tier, can be further activated to deal with issues like combatting violence against women and children, prevention of child marriage etc.</w:t>
            </w:r>
          </w:p>
        </w:tc>
        <w:tc>
          <w:tcPr>
            <w:tcW w:w="6824" w:type="dxa"/>
          </w:tcPr>
          <w:p w14:paraId="7FDBAD51" w14:textId="1EC50844" w:rsidR="00E64660" w:rsidRPr="00036F9D" w:rsidRDefault="00E64660" w:rsidP="0085111E">
            <w:pPr>
              <w:rPr>
                <w:rFonts w:cstheme="minorHAnsi"/>
                <w:b/>
                <w:color w:val="000000" w:themeColor="text1"/>
              </w:rPr>
            </w:pPr>
            <w:r w:rsidRPr="00036F9D">
              <w:rPr>
                <w:rFonts w:cstheme="minorHAnsi"/>
                <w:bCs/>
                <w:color w:val="000000" w:themeColor="text1"/>
              </w:rPr>
              <w:t>We agree with your comments about the role of the U</w:t>
            </w:r>
            <w:r w:rsidR="00417A93" w:rsidRPr="00036F9D">
              <w:rPr>
                <w:rFonts w:cstheme="minorHAnsi"/>
                <w:bCs/>
                <w:color w:val="000000" w:themeColor="text1"/>
              </w:rPr>
              <w:t xml:space="preserve">nion </w:t>
            </w:r>
            <w:r w:rsidRPr="00036F9D">
              <w:rPr>
                <w:rFonts w:cstheme="minorHAnsi"/>
                <w:bCs/>
                <w:color w:val="000000" w:themeColor="text1"/>
              </w:rPr>
              <w:t>P</w:t>
            </w:r>
            <w:r w:rsidR="00417A93" w:rsidRPr="00036F9D">
              <w:rPr>
                <w:rFonts w:cstheme="minorHAnsi"/>
                <w:bCs/>
                <w:color w:val="000000" w:themeColor="text1"/>
              </w:rPr>
              <w:t>arishad</w:t>
            </w:r>
            <w:r w:rsidRPr="00036F9D">
              <w:rPr>
                <w:rFonts w:cstheme="minorHAnsi"/>
                <w:bCs/>
                <w:color w:val="000000" w:themeColor="text1"/>
              </w:rPr>
              <w:t xml:space="preserve"> Standing Committee. We believe that the issue of </w:t>
            </w:r>
            <w:r w:rsidRPr="00036F9D">
              <w:rPr>
                <w:rFonts w:cstheme="minorHAnsi"/>
                <w:color w:val="000000" w:themeColor="text1"/>
              </w:rPr>
              <w:t xml:space="preserve">combatting violence against women and children, prevention of child marriage etc. can be addressed at the decentralized level supported by national level policy and institutional reform. Our CPD adopted both top-down and bottom-up approaches (para 21 and para 10). Furthermore, we will work with </w:t>
            </w:r>
            <w:r w:rsidR="00D65959">
              <w:rPr>
                <w:rFonts w:cstheme="minorHAnsi"/>
                <w:color w:val="000000" w:themeColor="text1"/>
              </w:rPr>
              <w:t xml:space="preserve">the </w:t>
            </w:r>
            <w:r w:rsidRPr="00036F9D">
              <w:rPr>
                <w:rFonts w:cstheme="minorHAnsi"/>
                <w:color w:val="000000" w:themeColor="text1"/>
              </w:rPr>
              <w:t>wider UNCT to address all these issues.</w:t>
            </w:r>
          </w:p>
        </w:tc>
      </w:tr>
    </w:tbl>
    <w:p w14:paraId="70823533" w14:textId="5E32BA70" w:rsidR="00EF2FE0" w:rsidRDefault="00EF2FE0" w:rsidP="00496233">
      <w:pPr>
        <w:spacing w:after="0" w:line="240" w:lineRule="auto"/>
        <w:rPr>
          <w:rFonts w:cstheme="minorHAnsi"/>
          <w:color w:val="000000" w:themeColor="text1"/>
        </w:rPr>
      </w:pPr>
    </w:p>
    <w:p w14:paraId="5B274310" w14:textId="77777777" w:rsidR="00EF2FE0" w:rsidRDefault="00EF2FE0">
      <w:pPr>
        <w:rPr>
          <w:rFonts w:cstheme="minorHAnsi"/>
          <w:color w:val="000000" w:themeColor="text1"/>
        </w:rPr>
      </w:pPr>
      <w:r>
        <w:rPr>
          <w:rFonts w:cstheme="minorHAnsi"/>
          <w:color w:val="000000" w:themeColor="text1"/>
        </w:rPr>
        <w:br w:type="page"/>
      </w:r>
    </w:p>
    <w:tbl>
      <w:tblPr>
        <w:tblStyle w:val="TableGrid"/>
        <w:tblW w:w="13765" w:type="dxa"/>
        <w:tblLook w:val="04A0" w:firstRow="1" w:lastRow="0" w:firstColumn="1" w:lastColumn="0" w:noHBand="0" w:noVBand="1"/>
      </w:tblPr>
      <w:tblGrid>
        <w:gridCol w:w="6941"/>
        <w:gridCol w:w="6804"/>
        <w:gridCol w:w="20"/>
      </w:tblGrid>
      <w:tr w:rsidR="00EB197E" w:rsidRPr="00036F9D" w14:paraId="4E8B3DE2" w14:textId="631F66BC" w:rsidTr="00457014">
        <w:trPr>
          <w:trHeight w:val="476"/>
        </w:trPr>
        <w:tc>
          <w:tcPr>
            <w:tcW w:w="6941" w:type="dxa"/>
            <w:shd w:val="clear" w:color="auto" w:fill="00B0F0"/>
            <w:vAlign w:val="center"/>
          </w:tcPr>
          <w:p w14:paraId="766CFF4E" w14:textId="48DAB882" w:rsidR="002632C4" w:rsidRPr="00036F9D" w:rsidRDefault="002632C4" w:rsidP="0085111E">
            <w:pPr>
              <w:jc w:val="center"/>
              <w:rPr>
                <w:rFonts w:cstheme="minorHAnsi"/>
                <w:b/>
                <w:color w:val="000000" w:themeColor="text1"/>
              </w:rPr>
            </w:pPr>
            <w:r w:rsidRPr="00036F9D">
              <w:rPr>
                <w:rFonts w:cstheme="minorHAnsi"/>
                <w:b/>
                <w:color w:val="000000" w:themeColor="text1"/>
              </w:rPr>
              <w:lastRenderedPageBreak/>
              <w:t xml:space="preserve">Comments by Germany </w:t>
            </w:r>
          </w:p>
        </w:tc>
        <w:tc>
          <w:tcPr>
            <w:tcW w:w="6824" w:type="dxa"/>
            <w:gridSpan w:val="2"/>
            <w:shd w:val="clear" w:color="auto" w:fill="00B0F0"/>
          </w:tcPr>
          <w:p w14:paraId="46B51F73" w14:textId="41BB7F55" w:rsidR="002632C4" w:rsidRPr="00036F9D" w:rsidRDefault="00371C85" w:rsidP="0085111E">
            <w:pPr>
              <w:jc w:val="center"/>
              <w:rPr>
                <w:rFonts w:cstheme="minorHAnsi"/>
                <w:b/>
                <w:color w:val="000000" w:themeColor="text1"/>
              </w:rPr>
            </w:pPr>
            <w:r w:rsidRPr="00036F9D">
              <w:rPr>
                <w:rFonts w:cstheme="minorHAnsi"/>
                <w:b/>
                <w:color w:val="000000" w:themeColor="text1"/>
              </w:rPr>
              <w:t>Country Office Responses</w:t>
            </w:r>
          </w:p>
        </w:tc>
      </w:tr>
      <w:tr w:rsidR="00EB197E" w:rsidRPr="00036F9D" w14:paraId="6EC89FB8" w14:textId="2D8460DC" w:rsidTr="00457014">
        <w:trPr>
          <w:trHeight w:val="2496"/>
        </w:trPr>
        <w:tc>
          <w:tcPr>
            <w:tcW w:w="6941" w:type="dxa"/>
            <w:shd w:val="clear" w:color="auto" w:fill="auto"/>
          </w:tcPr>
          <w:p w14:paraId="65AB116E" w14:textId="5F395440" w:rsidR="002632C4" w:rsidRPr="00EF2FE0" w:rsidRDefault="002632C4" w:rsidP="00EF2FE0">
            <w:pPr>
              <w:rPr>
                <w:rFonts w:cstheme="minorHAnsi"/>
                <w:color w:val="000000" w:themeColor="text1"/>
                <w:lang w:val="en-US"/>
              </w:rPr>
            </w:pPr>
            <w:r w:rsidRPr="00EF2FE0">
              <w:rPr>
                <w:rFonts w:cstheme="minorHAnsi"/>
                <w:color w:val="000000" w:themeColor="text1"/>
                <w:lang w:val="en-US"/>
              </w:rPr>
              <w:t xml:space="preserve">In line with our commissioning parties, Germany and our co-financing partners such as the European Union, through its technical cooperation (TC) in Bangladesh shares the view that one of the biggest </w:t>
            </w:r>
            <w:r w:rsidRPr="00EF2FE0">
              <w:rPr>
                <w:rFonts w:cstheme="minorHAnsi"/>
                <w:color w:val="000000" w:themeColor="text1"/>
              </w:rPr>
              <w:t>development</w:t>
            </w:r>
            <w:r w:rsidRPr="00EF2FE0">
              <w:rPr>
                <w:rFonts w:cstheme="minorHAnsi"/>
                <w:color w:val="000000" w:themeColor="text1"/>
                <w:lang w:val="en-US"/>
              </w:rPr>
              <w:t xml:space="preserve"> challenges that Bangladesh is currently facing is related to its vulnerability to external shocks, be it related to climate change or to changes in the demand from the world market regarding export oriented market sectors, such as the  textile and leather industry. Furthermore, the understanding that inequalities in Bangladesh are growing, leveraged by a constant migration flow from rural to urban areas along with a rapid unplanned urbanization process is supported. This makes the population even more vulnerable, especially affecting women, youth and children. </w:t>
            </w:r>
          </w:p>
        </w:tc>
        <w:tc>
          <w:tcPr>
            <w:tcW w:w="6824" w:type="dxa"/>
            <w:gridSpan w:val="2"/>
          </w:tcPr>
          <w:p w14:paraId="4A84A8D8" w14:textId="499CE1D7" w:rsidR="00E5119F" w:rsidRPr="00036F9D" w:rsidRDefault="004A2FF9" w:rsidP="004A2FF9">
            <w:pPr>
              <w:rPr>
                <w:rFonts w:cstheme="minorHAnsi"/>
                <w:color w:val="000000" w:themeColor="text1"/>
                <w:lang w:val="en-US"/>
              </w:rPr>
            </w:pPr>
            <w:r w:rsidRPr="00EF2FE0">
              <w:rPr>
                <w:rFonts w:cstheme="minorHAnsi"/>
                <w:color w:val="000000" w:themeColor="text1"/>
                <w:lang w:val="en-US"/>
              </w:rPr>
              <w:t>The comment is well noted and the shared views on development challenges in Bangladesh</w:t>
            </w:r>
            <w:r w:rsidR="00D65959">
              <w:rPr>
                <w:rFonts w:cstheme="minorHAnsi"/>
                <w:color w:val="000000" w:themeColor="text1"/>
                <w:lang w:val="en-US"/>
              </w:rPr>
              <w:t xml:space="preserve"> are appreciated</w:t>
            </w:r>
            <w:r w:rsidRPr="00EF2FE0">
              <w:rPr>
                <w:rFonts w:cstheme="minorHAnsi"/>
                <w:color w:val="000000" w:themeColor="text1"/>
                <w:lang w:val="en-US"/>
              </w:rPr>
              <w:t xml:space="preserve">. </w:t>
            </w:r>
          </w:p>
        </w:tc>
      </w:tr>
      <w:tr w:rsidR="004A2FF9" w:rsidRPr="00036F9D" w14:paraId="0AF481D7" w14:textId="77777777" w:rsidTr="00457014">
        <w:trPr>
          <w:trHeight w:val="983"/>
        </w:trPr>
        <w:tc>
          <w:tcPr>
            <w:tcW w:w="6941" w:type="dxa"/>
            <w:shd w:val="clear" w:color="auto" w:fill="auto"/>
            <w:vAlign w:val="center"/>
          </w:tcPr>
          <w:p w14:paraId="1961C6D9" w14:textId="27007804" w:rsidR="004A2FF9" w:rsidRPr="00EF2FE0" w:rsidRDefault="004A2FF9" w:rsidP="00EF2FE0">
            <w:pPr>
              <w:rPr>
                <w:rFonts w:cstheme="minorHAnsi"/>
                <w:color w:val="000000" w:themeColor="text1"/>
                <w:lang w:val="en-US"/>
              </w:rPr>
            </w:pPr>
            <w:r w:rsidRPr="00EF2FE0">
              <w:rPr>
                <w:rFonts w:cstheme="minorHAnsi"/>
                <w:color w:val="000000" w:themeColor="text1"/>
                <w:lang w:val="en-US"/>
              </w:rPr>
              <w:t>We share the understanding, that the Covid-19 pandemic has had and has an enormous negative impact on the human development in Bangladesh, increasing the vulnerability of the population, challenging the development achievements of the recent years. We support the understanding that the pandemic has made evident the urge for a digital transformation in the economy, the governance structure and the citizenry in general to make processes and service delivery faster, more efficient and accessible.</w:t>
            </w:r>
          </w:p>
        </w:tc>
        <w:tc>
          <w:tcPr>
            <w:tcW w:w="6824" w:type="dxa"/>
            <w:gridSpan w:val="2"/>
          </w:tcPr>
          <w:p w14:paraId="57163B79" w14:textId="02D41744" w:rsidR="004A2FF9" w:rsidRPr="00036F9D" w:rsidRDefault="004A2FF9" w:rsidP="004A2FF9">
            <w:pPr>
              <w:rPr>
                <w:rFonts w:cstheme="minorHAnsi"/>
                <w:color w:val="000000" w:themeColor="text1"/>
                <w:lang w:val="en-US"/>
              </w:rPr>
            </w:pPr>
            <w:r w:rsidRPr="00036F9D">
              <w:rPr>
                <w:rFonts w:cstheme="minorHAnsi"/>
                <w:color w:val="000000" w:themeColor="text1"/>
                <w:lang w:val="en-US"/>
              </w:rPr>
              <w:t xml:space="preserve">The comment is well noted and we appreciate the convergence of views about the </w:t>
            </w:r>
            <w:r w:rsidR="00505E5F" w:rsidRPr="00036F9D">
              <w:rPr>
                <w:rFonts w:cstheme="minorHAnsi"/>
                <w:color w:val="000000" w:themeColor="text1"/>
                <w:lang w:val="en-US"/>
              </w:rPr>
              <w:t xml:space="preserve">impact of COVID-19 and the urgent need for digital transformation and a more efficient service delivery. </w:t>
            </w:r>
          </w:p>
        </w:tc>
      </w:tr>
      <w:tr w:rsidR="004A2FF9" w:rsidRPr="00036F9D" w14:paraId="70B7E9A9" w14:textId="77777777" w:rsidTr="00457014">
        <w:trPr>
          <w:trHeight w:val="558"/>
        </w:trPr>
        <w:tc>
          <w:tcPr>
            <w:tcW w:w="6941" w:type="dxa"/>
            <w:shd w:val="clear" w:color="auto" w:fill="auto"/>
            <w:vAlign w:val="center"/>
          </w:tcPr>
          <w:p w14:paraId="0F13ED91" w14:textId="7658A542" w:rsidR="004A2FF9" w:rsidRPr="00EF2FE0" w:rsidRDefault="004A2FF9" w:rsidP="00EF2FE0">
            <w:pPr>
              <w:rPr>
                <w:rFonts w:cstheme="minorHAnsi"/>
                <w:color w:val="000000" w:themeColor="text1"/>
                <w:lang w:val="en-US"/>
              </w:rPr>
            </w:pPr>
            <w:r w:rsidRPr="00EF2FE0">
              <w:rPr>
                <w:rFonts w:cstheme="minorHAnsi"/>
                <w:color w:val="000000" w:themeColor="text1"/>
                <w:lang w:val="en-US"/>
              </w:rPr>
              <w:t>In line with the Country Strategy of Germany, German TC has established 3 areas of intervention in our development cooperation portfolio in Bangladesh. These areas match with the planned outcomes outlined by UNDP for the DCP 2022-2026. German TC focusses on (1) sustainable economic growth in the garment and leather industry, (2) adaptation of urban areas to climate change and sustainable energy, and (3) rule of law and empowerment of women.</w:t>
            </w:r>
          </w:p>
        </w:tc>
        <w:tc>
          <w:tcPr>
            <w:tcW w:w="6824" w:type="dxa"/>
            <w:gridSpan w:val="2"/>
          </w:tcPr>
          <w:p w14:paraId="0A8D7B17" w14:textId="418C9780" w:rsidR="004A2FF9" w:rsidRPr="00036F9D" w:rsidRDefault="004A2FF9" w:rsidP="004A2FF9">
            <w:pPr>
              <w:rPr>
                <w:rFonts w:cstheme="minorHAnsi"/>
                <w:color w:val="000000" w:themeColor="text1"/>
                <w:lang w:val="en-US"/>
              </w:rPr>
            </w:pPr>
            <w:r w:rsidRPr="00036F9D">
              <w:rPr>
                <w:rFonts w:cstheme="minorHAnsi"/>
                <w:color w:val="000000" w:themeColor="text1"/>
                <w:lang w:val="en-US"/>
              </w:rPr>
              <w:t xml:space="preserve">We </w:t>
            </w:r>
            <w:r w:rsidR="00505E5F" w:rsidRPr="00036F9D">
              <w:rPr>
                <w:rFonts w:cstheme="minorHAnsi"/>
                <w:color w:val="000000" w:themeColor="text1"/>
                <w:lang w:val="en-US"/>
              </w:rPr>
              <w:t xml:space="preserve">take note of the Country Strategy of Germany and </w:t>
            </w:r>
            <w:r w:rsidR="00D52B70">
              <w:rPr>
                <w:rFonts w:cstheme="minorHAnsi"/>
                <w:color w:val="000000" w:themeColor="text1"/>
                <w:lang w:val="en-US"/>
              </w:rPr>
              <w:t>the related</w:t>
            </w:r>
            <w:r w:rsidR="00D52B70" w:rsidRPr="00036F9D">
              <w:rPr>
                <w:rFonts w:cstheme="minorHAnsi"/>
                <w:color w:val="000000" w:themeColor="text1"/>
                <w:lang w:val="en-US"/>
              </w:rPr>
              <w:t xml:space="preserve"> </w:t>
            </w:r>
            <w:r w:rsidR="00505E5F" w:rsidRPr="00036F9D">
              <w:rPr>
                <w:rFonts w:cstheme="minorHAnsi"/>
                <w:color w:val="000000" w:themeColor="text1"/>
                <w:lang w:val="en-US"/>
              </w:rPr>
              <w:t xml:space="preserve">areas of interventions in Bangladesh. We </w:t>
            </w:r>
            <w:r w:rsidRPr="00036F9D">
              <w:rPr>
                <w:rFonts w:cstheme="minorHAnsi"/>
                <w:color w:val="000000" w:themeColor="text1"/>
                <w:lang w:val="en-US"/>
              </w:rPr>
              <w:t>would welcome close collaboration with GIZ and KfW in the implementation of the new CPD</w:t>
            </w:r>
          </w:p>
        </w:tc>
      </w:tr>
      <w:tr w:rsidR="004A2FF9" w:rsidRPr="00036F9D" w14:paraId="27DEA0DB" w14:textId="77777777" w:rsidTr="00457014">
        <w:trPr>
          <w:trHeight w:val="476"/>
        </w:trPr>
        <w:tc>
          <w:tcPr>
            <w:tcW w:w="6941" w:type="dxa"/>
            <w:vAlign w:val="center"/>
          </w:tcPr>
          <w:p w14:paraId="053AF01D" w14:textId="109051DF" w:rsidR="004A2FF9" w:rsidRPr="00EF2FE0" w:rsidRDefault="004A2FF9" w:rsidP="00EF2FE0">
            <w:pPr>
              <w:rPr>
                <w:rFonts w:cstheme="minorHAnsi"/>
                <w:color w:val="000000" w:themeColor="text1"/>
                <w:lang w:val="en-US"/>
              </w:rPr>
            </w:pPr>
            <w:r w:rsidRPr="00EF2FE0">
              <w:rPr>
                <w:rFonts w:cstheme="minorHAnsi"/>
                <w:color w:val="000000" w:themeColor="text1"/>
                <w:lang w:val="en-US"/>
              </w:rPr>
              <w:t xml:space="preserve">In this regard UNDP and German TC basically work in the same sectors at the national level and often with the same partners, for example in the case of the Ministry of Environment, Forest and Climate Change; the Ministry of Labour and Employment and the Planning Commission, which creates a high potential for synergies. German TC and UNDP are engaged </w:t>
            </w:r>
            <w:r w:rsidRPr="00EF2FE0">
              <w:rPr>
                <w:rFonts w:cstheme="minorHAnsi"/>
                <w:color w:val="000000" w:themeColor="text1"/>
                <w:lang w:val="en-US"/>
              </w:rPr>
              <w:lastRenderedPageBreak/>
              <w:t xml:space="preserve">in a constant dialogue for building alliances and cooperation to capitalize on this potential, as can be seen below. </w:t>
            </w:r>
          </w:p>
        </w:tc>
        <w:tc>
          <w:tcPr>
            <w:tcW w:w="6824" w:type="dxa"/>
            <w:gridSpan w:val="2"/>
          </w:tcPr>
          <w:p w14:paraId="411A453A" w14:textId="0C1BF937" w:rsidR="004A2FF9" w:rsidRPr="00036F9D" w:rsidRDefault="00505E5F" w:rsidP="009F2305">
            <w:pPr>
              <w:rPr>
                <w:rFonts w:cstheme="minorHAnsi"/>
                <w:color w:val="000000" w:themeColor="text1"/>
                <w:lang w:val="en-US"/>
              </w:rPr>
            </w:pPr>
            <w:r w:rsidRPr="00036F9D">
              <w:rPr>
                <w:rFonts w:cstheme="minorHAnsi"/>
                <w:color w:val="000000" w:themeColor="text1"/>
                <w:lang w:val="en-US"/>
              </w:rPr>
              <w:lastRenderedPageBreak/>
              <w:t xml:space="preserve">The comment is well noted and we look forward to staying engaged in policy dialogues about areas of potential synergies. </w:t>
            </w:r>
          </w:p>
        </w:tc>
      </w:tr>
      <w:tr w:rsidR="004A2FF9" w:rsidRPr="00036F9D" w14:paraId="55602918" w14:textId="77777777" w:rsidTr="00457014">
        <w:trPr>
          <w:trHeight w:val="476"/>
        </w:trPr>
        <w:tc>
          <w:tcPr>
            <w:tcW w:w="6941" w:type="dxa"/>
            <w:vAlign w:val="center"/>
          </w:tcPr>
          <w:p w14:paraId="66AEF73E" w14:textId="54E662E1" w:rsidR="004A2FF9" w:rsidRPr="00EF2FE0" w:rsidRDefault="004A2FF9" w:rsidP="00EF2FE0">
            <w:pPr>
              <w:rPr>
                <w:rFonts w:cstheme="minorHAnsi"/>
                <w:color w:val="000000" w:themeColor="text1"/>
                <w:lang w:val="en-US"/>
              </w:rPr>
            </w:pPr>
            <w:r w:rsidRPr="00EF2FE0">
              <w:rPr>
                <w:rFonts w:cstheme="minorHAnsi"/>
                <w:color w:val="000000" w:themeColor="text1"/>
                <w:lang w:val="en-US"/>
              </w:rPr>
              <w:t>The UNDP Country Program has elaborated on three outcomes. There is no particular focus on ‘Energy, Energy Efficiency or Renewable Energy’. UNDP had engagements in this sector in last years – so there is apparently a shifting of focus now. Germany, through its Financial Cooperation (FC) is also active in Sustainable Urban Development and Climate Change Adaptation – these areas are very much aligned with the Outcome 3 of the above. Major partners for UNDP will be Local Government Division (LGD) and Ministry of Environment, Forest and Climate Change (MoEFCC). UNDP’s focus will be more on urban policy, institutional reform and poverty reduction and less on Urban Infrastructure Financing. From Germany’s point of view those are complimentary and we do not see any conflict of interest or contradiction to our FC activities.</w:t>
            </w:r>
          </w:p>
        </w:tc>
        <w:tc>
          <w:tcPr>
            <w:tcW w:w="6824" w:type="dxa"/>
            <w:gridSpan w:val="2"/>
          </w:tcPr>
          <w:p w14:paraId="615001C1" w14:textId="266A4988" w:rsidR="004A2FF9" w:rsidRPr="00036F9D" w:rsidRDefault="00D52B70" w:rsidP="009F2305">
            <w:pPr>
              <w:rPr>
                <w:rFonts w:cstheme="minorHAnsi"/>
                <w:color w:val="000000" w:themeColor="text1"/>
                <w:lang w:val="en-US"/>
              </w:rPr>
            </w:pPr>
            <w:r>
              <w:rPr>
                <w:rFonts w:cstheme="minorHAnsi"/>
                <w:color w:val="000000" w:themeColor="text1"/>
                <w:lang w:val="en-US"/>
              </w:rPr>
              <w:t>While not elaborated in the CPD, o</w:t>
            </w:r>
            <w:r w:rsidR="004A2FF9" w:rsidRPr="00036F9D">
              <w:rPr>
                <w:rFonts w:cstheme="minorHAnsi"/>
                <w:color w:val="000000" w:themeColor="text1"/>
                <w:lang w:val="en-US"/>
              </w:rPr>
              <w:t>ur work on Sustainable Energy covers all energy related areas including Energy, Energy Efficiency and Renewable Energy. UNDP will continue to join up our efforts with Germany as well as other development partners, using the Local Consultative Group as a policy platform.</w:t>
            </w:r>
          </w:p>
        </w:tc>
      </w:tr>
      <w:tr w:rsidR="002632C4" w:rsidRPr="00036F9D" w14:paraId="42A93A48" w14:textId="5E4E46E6" w:rsidTr="00457014">
        <w:trPr>
          <w:trHeight w:val="476"/>
        </w:trPr>
        <w:tc>
          <w:tcPr>
            <w:tcW w:w="6941" w:type="dxa"/>
            <w:vAlign w:val="center"/>
          </w:tcPr>
          <w:p w14:paraId="21A4523A" w14:textId="12122CB0" w:rsidR="002632C4" w:rsidRPr="00EF2FE0" w:rsidRDefault="002632C4" w:rsidP="00EF2FE0">
            <w:pPr>
              <w:rPr>
                <w:rFonts w:cstheme="minorHAnsi"/>
                <w:color w:val="000000" w:themeColor="text1"/>
                <w:lang w:val="en-US"/>
              </w:rPr>
            </w:pPr>
            <w:r w:rsidRPr="00EF2FE0">
              <w:rPr>
                <w:rFonts w:cstheme="minorHAnsi"/>
                <w:color w:val="000000" w:themeColor="text1"/>
                <w:lang w:val="en-US"/>
              </w:rPr>
              <w:t>We see a high potential for synergies between UNDP and Germany through its TC in Bangladesh for instance:</w:t>
            </w:r>
          </w:p>
          <w:p w14:paraId="37F342A1" w14:textId="77777777" w:rsidR="002632C4" w:rsidRPr="00036F9D" w:rsidRDefault="002632C4" w:rsidP="0085111E">
            <w:pPr>
              <w:pStyle w:val="ListParagraph"/>
              <w:rPr>
                <w:rFonts w:cstheme="minorHAnsi"/>
                <w:color w:val="000000" w:themeColor="text1"/>
                <w:lang w:val="en-US"/>
              </w:rPr>
            </w:pPr>
          </w:p>
          <w:p w14:paraId="0A4FDFE0" w14:textId="77777777" w:rsidR="002632C4" w:rsidRPr="00036F9D" w:rsidRDefault="002632C4" w:rsidP="00496233">
            <w:pPr>
              <w:pStyle w:val="ListParagraph"/>
              <w:numPr>
                <w:ilvl w:val="0"/>
                <w:numId w:val="15"/>
              </w:numPr>
              <w:rPr>
                <w:rFonts w:cstheme="minorHAnsi"/>
                <w:color w:val="000000" w:themeColor="text1"/>
                <w:lang w:val="en-US"/>
              </w:rPr>
            </w:pPr>
            <w:r w:rsidRPr="00036F9D">
              <w:rPr>
                <w:rFonts w:cstheme="minorHAnsi"/>
                <w:color w:val="000000" w:themeColor="text1"/>
                <w:lang w:val="en-US"/>
              </w:rPr>
              <w:t>for establishing an efficient tagging and tracking system of Climate Finance between Economic Relations Division’s Aid Information Management System (AIMS) and Finance Division’s Integrated Budgeting and Accounting System (iBAS ++)</w:t>
            </w:r>
            <w:r w:rsidRPr="00036F9D">
              <w:rPr>
                <w:rFonts w:cstheme="minorHAnsi"/>
                <w:color w:val="000000" w:themeColor="text1"/>
                <w:lang w:val="en-US"/>
              </w:rPr>
              <w:br/>
            </w:r>
          </w:p>
          <w:p w14:paraId="354C4F7F" w14:textId="77777777" w:rsidR="002632C4" w:rsidRPr="00036F9D" w:rsidRDefault="002632C4" w:rsidP="00496233">
            <w:pPr>
              <w:pStyle w:val="ListParagraph"/>
              <w:numPr>
                <w:ilvl w:val="0"/>
                <w:numId w:val="15"/>
              </w:numPr>
              <w:rPr>
                <w:rFonts w:cstheme="minorHAnsi"/>
                <w:color w:val="000000" w:themeColor="text1"/>
                <w:lang w:val="en-US"/>
              </w:rPr>
            </w:pPr>
            <w:r w:rsidRPr="00036F9D">
              <w:rPr>
                <w:rFonts w:cstheme="minorHAnsi"/>
                <w:color w:val="000000" w:themeColor="text1"/>
                <w:lang w:val="en-US"/>
              </w:rPr>
              <w:t>for establishing a web-based geographical information system centered application containing pertinent climate risk information to act as a decision support system for the GoB, especially Bangladesh Planning Commission and the Ministry of Environment Forests and Climate Change</w:t>
            </w:r>
            <w:r w:rsidRPr="00036F9D">
              <w:rPr>
                <w:rFonts w:cstheme="minorHAnsi"/>
                <w:color w:val="000000" w:themeColor="text1"/>
                <w:lang w:val="en-US"/>
              </w:rPr>
              <w:br/>
            </w:r>
          </w:p>
          <w:p w14:paraId="4B927AAD" w14:textId="77777777" w:rsidR="002632C4" w:rsidRPr="00036F9D" w:rsidRDefault="002632C4" w:rsidP="00496233">
            <w:pPr>
              <w:pStyle w:val="ListParagraph"/>
              <w:numPr>
                <w:ilvl w:val="0"/>
                <w:numId w:val="15"/>
              </w:numPr>
              <w:rPr>
                <w:rFonts w:cstheme="minorHAnsi"/>
                <w:color w:val="000000" w:themeColor="text1"/>
                <w:lang w:val="en-US"/>
              </w:rPr>
            </w:pPr>
            <w:r w:rsidRPr="00036F9D">
              <w:rPr>
                <w:rFonts w:cstheme="minorHAnsi"/>
                <w:color w:val="000000" w:themeColor="text1"/>
                <w:lang w:val="en-US"/>
              </w:rPr>
              <w:t>for support to the Government of Bangladesh in achieving the national adaptation goals, e.g. through Capacity Development for the planning of climate adaptation measures.</w:t>
            </w:r>
            <w:r w:rsidRPr="00036F9D">
              <w:rPr>
                <w:rFonts w:cstheme="minorHAnsi"/>
                <w:i/>
                <w:iCs/>
                <w:color w:val="000000" w:themeColor="text1"/>
                <w:lang w:val="en-US"/>
              </w:rPr>
              <w:t xml:space="preserve"> (In line with Outcome 2b of the CPD: “Institutions have strengthened capacities to develop and deliver policies, strategies and legal instruments to </w:t>
            </w:r>
            <w:r w:rsidRPr="00036F9D">
              <w:rPr>
                <w:rFonts w:cstheme="minorHAnsi"/>
                <w:i/>
                <w:iCs/>
                <w:color w:val="000000" w:themeColor="text1"/>
                <w:lang w:val="en-US"/>
              </w:rPr>
              <w:lastRenderedPageBreak/>
              <w:t>improve and restore ecosystem health and manage risks, such as climate change, disaster, pandemics and humanitarian crises.”)</w:t>
            </w:r>
          </w:p>
          <w:p w14:paraId="4D7919E3" w14:textId="77777777" w:rsidR="002632C4" w:rsidRPr="00036F9D" w:rsidRDefault="002632C4" w:rsidP="0085111E">
            <w:pPr>
              <w:pStyle w:val="ListParagraph"/>
              <w:ind w:left="1080"/>
              <w:rPr>
                <w:rFonts w:cstheme="minorHAnsi"/>
                <w:i/>
                <w:iCs/>
                <w:color w:val="000000" w:themeColor="text1"/>
                <w:lang w:val="en-US"/>
              </w:rPr>
            </w:pPr>
          </w:p>
          <w:p w14:paraId="50D97D50" w14:textId="40D2A8C9" w:rsidR="002632C4" w:rsidRPr="00036F9D" w:rsidRDefault="002632C4" w:rsidP="0035218E">
            <w:pPr>
              <w:pStyle w:val="ListParagraph"/>
              <w:numPr>
                <w:ilvl w:val="0"/>
                <w:numId w:val="15"/>
              </w:numPr>
              <w:rPr>
                <w:rFonts w:cstheme="minorHAnsi"/>
                <w:color w:val="000000" w:themeColor="text1"/>
                <w:lang w:val="en-US"/>
              </w:rPr>
            </w:pPr>
            <w:r w:rsidRPr="00036F9D">
              <w:rPr>
                <w:rFonts w:cstheme="minorHAnsi"/>
                <w:color w:val="000000" w:themeColor="text1"/>
                <w:lang w:val="en-US"/>
              </w:rPr>
              <w:t xml:space="preserve"> for strengthening local government capacities in planning and public finance management with the aim of mitigating climate change induced risks; and the localization of the Sustainable Development Goals (SDGs) </w:t>
            </w:r>
          </w:p>
        </w:tc>
        <w:tc>
          <w:tcPr>
            <w:tcW w:w="6824" w:type="dxa"/>
            <w:gridSpan w:val="2"/>
          </w:tcPr>
          <w:p w14:paraId="5C6310B1" w14:textId="6F460F7A" w:rsidR="002A6756" w:rsidRPr="00036F9D" w:rsidRDefault="002A6756" w:rsidP="009F2305">
            <w:pPr>
              <w:rPr>
                <w:rFonts w:cstheme="minorHAnsi"/>
                <w:color w:val="000000" w:themeColor="text1"/>
                <w:lang w:val="en-US"/>
              </w:rPr>
            </w:pPr>
            <w:r w:rsidRPr="00036F9D">
              <w:rPr>
                <w:rFonts w:cstheme="minorHAnsi"/>
                <w:color w:val="000000" w:themeColor="text1"/>
                <w:lang w:val="en-US"/>
              </w:rPr>
              <w:lastRenderedPageBreak/>
              <w:t xml:space="preserve">We </w:t>
            </w:r>
            <w:r w:rsidR="0035218E" w:rsidRPr="00036F9D">
              <w:rPr>
                <w:rFonts w:cstheme="minorHAnsi"/>
                <w:color w:val="000000" w:themeColor="text1"/>
                <w:lang w:val="en-US"/>
              </w:rPr>
              <w:t xml:space="preserve">agree with Germany on areas of potential synergies and </w:t>
            </w:r>
            <w:r w:rsidRPr="00036F9D">
              <w:rPr>
                <w:rFonts w:cstheme="minorHAnsi"/>
                <w:color w:val="000000" w:themeColor="text1"/>
                <w:lang w:val="en-US"/>
              </w:rPr>
              <w:t xml:space="preserve">welcome opportunities to partner with Germany </w:t>
            </w:r>
            <w:r w:rsidR="00496F08" w:rsidRPr="00036F9D">
              <w:rPr>
                <w:rFonts w:cstheme="minorHAnsi"/>
                <w:color w:val="000000" w:themeColor="text1"/>
                <w:lang w:val="en-US"/>
              </w:rPr>
              <w:t>i</w:t>
            </w:r>
            <w:r w:rsidRPr="00036F9D">
              <w:rPr>
                <w:rFonts w:cstheme="minorHAnsi"/>
                <w:color w:val="000000" w:themeColor="text1"/>
                <w:lang w:val="en-US"/>
              </w:rPr>
              <w:t xml:space="preserve">n </w:t>
            </w:r>
            <w:r w:rsidR="0035218E" w:rsidRPr="00036F9D">
              <w:rPr>
                <w:rFonts w:cstheme="minorHAnsi"/>
                <w:color w:val="000000" w:themeColor="text1"/>
                <w:lang w:val="en-US"/>
              </w:rPr>
              <w:t xml:space="preserve">those </w:t>
            </w:r>
            <w:r w:rsidR="008D2ADD" w:rsidRPr="00036F9D">
              <w:rPr>
                <w:rFonts w:cstheme="minorHAnsi"/>
                <w:color w:val="000000" w:themeColor="text1"/>
                <w:lang w:val="en-US"/>
              </w:rPr>
              <w:t>areas</w:t>
            </w:r>
            <w:r w:rsidR="008D2ADD">
              <w:rPr>
                <w:rFonts w:cstheme="minorHAnsi"/>
                <w:color w:val="000000" w:themeColor="text1"/>
                <w:lang w:val="en-US"/>
              </w:rPr>
              <w:t>, toward</w:t>
            </w:r>
            <w:r w:rsidR="00306830" w:rsidRPr="00036F9D">
              <w:rPr>
                <w:rFonts w:cstheme="minorHAnsi"/>
                <w:color w:val="000000" w:themeColor="text1"/>
                <w:lang w:val="en-US"/>
              </w:rPr>
              <w:t xml:space="preserve"> the achievement of shared results.</w:t>
            </w:r>
          </w:p>
          <w:p w14:paraId="7C02DCFD" w14:textId="6CA578AD" w:rsidR="002632C4" w:rsidRPr="00036F9D" w:rsidRDefault="002632C4" w:rsidP="009F2305">
            <w:pPr>
              <w:rPr>
                <w:rFonts w:cstheme="minorHAnsi"/>
                <w:color w:val="000000" w:themeColor="text1"/>
                <w:lang w:val="en-US"/>
              </w:rPr>
            </w:pPr>
          </w:p>
        </w:tc>
      </w:tr>
      <w:tr w:rsidR="00371C85" w:rsidRPr="00036F9D" w14:paraId="4BFA4548" w14:textId="7769C0D3" w:rsidTr="00457014">
        <w:trPr>
          <w:gridAfter w:val="1"/>
          <w:wAfter w:w="20" w:type="dxa"/>
          <w:trHeight w:val="476"/>
        </w:trPr>
        <w:tc>
          <w:tcPr>
            <w:tcW w:w="6941" w:type="dxa"/>
            <w:shd w:val="clear" w:color="auto" w:fill="00B0F0"/>
            <w:vAlign w:val="center"/>
          </w:tcPr>
          <w:p w14:paraId="494A8C6E" w14:textId="09E530AA" w:rsidR="00371C85" w:rsidRPr="00036F9D" w:rsidRDefault="00371C85" w:rsidP="00470C20">
            <w:pPr>
              <w:jc w:val="center"/>
              <w:rPr>
                <w:rFonts w:cstheme="minorHAnsi"/>
                <w:b/>
              </w:rPr>
            </w:pPr>
            <w:r w:rsidRPr="00036F9D">
              <w:rPr>
                <w:rFonts w:cstheme="minorHAnsi"/>
                <w:b/>
              </w:rPr>
              <w:t xml:space="preserve">Comments by the United States of America </w:t>
            </w:r>
          </w:p>
        </w:tc>
        <w:tc>
          <w:tcPr>
            <w:tcW w:w="6804" w:type="dxa"/>
            <w:shd w:val="clear" w:color="auto" w:fill="00B0F0"/>
            <w:vAlign w:val="center"/>
          </w:tcPr>
          <w:p w14:paraId="2F174CE0" w14:textId="5110BAEB" w:rsidR="00371C85" w:rsidRPr="00036F9D" w:rsidRDefault="00371C85" w:rsidP="00470C20">
            <w:pPr>
              <w:jc w:val="center"/>
              <w:rPr>
                <w:rFonts w:cstheme="minorHAnsi"/>
                <w:b/>
              </w:rPr>
            </w:pPr>
            <w:r w:rsidRPr="00036F9D">
              <w:rPr>
                <w:rFonts w:cstheme="minorHAnsi"/>
                <w:b/>
                <w:color w:val="000000" w:themeColor="text1"/>
              </w:rPr>
              <w:t>Country Office Responses</w:t>
            </w:r>
          </w:p>
        </w:tc>
      </w:tr>
      <w:tr w:rsidR="00371C85" w:rsidRPr="00036F9D" w14:paraId="651B2DFF" w14:textId="2BECE858" w:rsidTr="00457014">
        <w:trPr>
          <w:gridAfter w:val="1"/>
          <w:wAfter w:w="20" w:type="dxa"/>
          <w:trHeight w:val="476"/>
        </w:trPr>
        <w:tc>
          <w:tcPr>
            <w:tcW w:w="6941" w:type="dxa"/>
          </w:tcPr>
          <w:p w14:paraId="4A70D153" w14:textId="1B766A77" w:rsidR="00371C85" w:rsidRPr="008D2ADD" w:rsidRDefault="00371C85" w:rsidP="008D2ADD">
            <w:pPr>
              <w:rPr>
                <w:rFonts w:eastAsia="Times New Roman" w:cstheme="minorHAnsi"/>
                <w:lang w:val="en-US"/>
              </w:rPr>
            </w:pPr>
            <w:r w:rsidRPr="00470C20">
              <w:rPr>
                <w:rStyle w:val="normaltextrun"/>
                <w:rFonts w:eastAsia="Times New Roman" w:cstheme="minorHAnsi"/>
                <w:color w:val="000000"/>
                <w:shd w:val="clear" w:color="auto" w:fill="FFFFFF"/>
              </w:rPr>
              <w:t xml:space="preserve">The United States and other Executive Board members - in formal and informal meetings of the Executive Board and with UN leadership, including the Development Cooperation Office (DCO) – as well as OP74 of A/Res/75/233 have set clear expectations that the UN development system do a better job to sequence entity-specific country program documents and their underlying Frameworks and/or outcome matrices. We note that only a draft outcome matrix was provided, without indication that it had been agreed by the Government and UNCT.  In the future, we encourage UNDP to ensure that finalized UNSDCFs and/or clearly marked ‘final’ or ‘approved’ outcome matrices are provided along with the draft Country Program Documents during the designated commenting period. </w:t>
            </w:r>
          </w:p>
        </w:tc>
        <w:tc>
          <w:tcPr>
            <w:tcW w:w="6804" w:type="dxa"/>
          </w:tcPr>
          <w:p w14:paraId="3A9A4FEF" w14:textId="220D0D4D" w:rsidR="00371C85" w:rsidRPr="00036F9D" w:rsidRDefault="00371C85" w:rsidP="00371C85">
            <w:pPr>
              <w:rPr>
                <w:rFonts w:eastAsia="Times New Roman" w:cstheme="minorHAnsi"/>
                <w:lang w:val="en-US"/>
              </w:rPr>
            </w:pPr>
            <w:r w:rsidRPr="00036F9D">
              <w:rPr>
                <w:rFonts w:eastAsia="Times New Roman" w:cstheme="minorHAnsi"/>
                <w:lang w:val="en-US"/>
              </w:rPr>
              <w:t xml:space="preserve">The comment is well noted. The outcome matrix (Results and Resources Matrix, RRF) was approved by the Steering Committee at their meeting on </w:t>
            </w:r>
            <w:r w:rsidR="002E4735" w:rsidRPr="00036F9D">
              <w:rPr>
                <w:rFonts w:eastAsia="Times New Roman" w:cstheme="minorHAnsi"/>
                <w:lang w:val="en-US"/>
              </w:rPr>
              <w:t xml:space="preserve">24 May 2021. </w:t>
            </w:r>
            <w:r w:rsidR="00944E5C" w:rsidRPr="00367533">
              <w:rPr>
                <w:rFonts w:eastAsia="Times New Roman" w:cstheme="minorHAnsi"/>
                <w:lang w:val="en-US"/>
              </w:rPr>
              <w:t>While the publishing of the UNSDCF and matrixes on the site is managed by UNDCO, we welcome any opportunity to further improve the process. UNDP has informed DCO of the need to add language clarifying that the UNSDCF and matrixes published on the UNDCO site during the designated commenting period should be marked final or agreed.</w:t>
            </w:r>
          </w:p>
        </w:tc>
      </w:tr>
    </w:tbl>
    <w:p w14:paraId="3C8C371B" w14:textId="77777777" w:rsidR="00505E5F" w:rsidRPr="00036F9D" w:rsidRDefault="00505E5F" w:rsidP="00496233">
      <w:pPr>
        <w:spacing w:after="0" w:line="240" w:lineRule="auto"/>
        <w:rPr>
          <w:rFonts w:cstheme="minorHAnsi"/>
          <w:color w:val="000000" w:themeColor="text1"/>
        </w:rPr>
      </w:pPr>
    </w:p>
    <w:sectPr w:rsidR="00505E5F" w:rsidRPr="00036F9D" w:rsidSect="009F5068">
      <w:headerReference w:type="default" r:id="rId11"/>
      <w:footerReference w:type="default" r:id="rId12"/>
      <w:headerReference w:type="first" r:id="rId13"/>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EC90A" w14:textId="77777777" w:rsidR="0059618A" w:rsidRDefault="0059618A" w:rsidP="0053576A">
      <w:pPr>
        <w:spacing w:after="0" w:line="240" w:lineRule="auto"/>
      </w:pPr>
      <w:r>
        <w:separator/>
      </w:r>
    </w:p>
  </w:endnote>
  <w:endnote w:type="continuationSeparator" w:id="0">
    <w:p w14:paraId="33D8C388" w14:textId="77777777" w:rsidR="0059618A" w:rsidRDefault="0059618A"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322901"/>
      <w:docPartObj>
        <w:docPartGallery w:val="Page Numbers (Bottom of Page)"/>
        <w:docPartUnique/>
      </w:docPartObj>
    </w:sdtPr>
    <w:sdtEndPr>
      <w:rPr>
        <w:noProof/>
      </w:rPr>
    </w:sdtEndPr>
    <w:sdtContent>
      <w:p w14:paraId="4E30D841" w14:textId="55192AD2" w:rsidR="00F3633B" w:rsidRDefault="00F3633B" w:rsidP="00646487">
        <w:pPr>
          <w:pStyle w:val="Footer"/>
          <w:jc w:val="center"/>
        </w:pPr>
        <w:r>
          <w:fldChar w:fldCharType="begin"/>
        </w:r>
        <w:r>
          <w:instrText xml:space="preserve"> PAGE   \* MERGEFORMAT </w:instrText>
        </w:r>
        <w:r>
          <w:fldChar w:fldCharType="separate"/>
        </w:r>
        <w:r w:rsidR="00534E0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8B1C" w14:textId="77777777" w:rsidR="0059618A" w:rsidRDefault="0059618A" w:rsidP="0053576A">
      <w:pPr>
        <w:spacing w:after="0" w:line="240" w:lineRule="auto"/>
      </w:pPr>
      <w:r>
        <w:separator/>
      </w:r>
    </w:p>
  </w:footnote>
  <w:footnote w:type="continuationSeparator" w:id="0">
    <w:p w14:paraId="5478C4CC" w14:textId="77777777" w:rsidR="0059618A" w:rsidRDefault="0059618A" w:rsidP="005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FD7" w14:textId="57543ED1" w:rsidR="00494A81" w:rsidRDefault="001C1C0A">
    <w:pPr>
      <w:pStyle w:val="Header"/>
    </w:pPr>
    <w:r>
      <w:rPr>
        <w:noProof/>
      </w:rPr>
      <mc:AlternateContent>
        <mc:Choice Requires="wps">
          <w:drawing>
            <wp:anchor distT="0" distB="0" distL="114300" distR="114300" simplePos="0" relativeHeight="251659264" behindDoc="0" locked="0" layoutInCell="0" allowOverlap="1" wp14:anchorId="55FACB17" wp14:editId="03F29D26">
              <wp:simplePos x="0" y="0"/>
              <wp:positionH relativeFrom="page">
                <wp:posOffset>0</wp:posOffset>
              </wp:positionH>
              <wp:positionV relativeFrom="page">
                <wp:posOffset>190500</wp:posOffset>
              </wp:positionV>
              <wp:extent cx="10692130" cy="273050"/>
              <wp:effectExtent l="0" t="0" r="0" b="12700"/>
              <wp:wrapNone/>
              <wp:docPr id="1" name="MSIPCMffcb489abc8124e019d2df89" descr="{&quot;HashCode&quot;:-12918245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1A695" w14:textId="3CD1C7EB" w:rsidR="001C1C0A" w:rsidRPr="001C1C0A" w:rsidRDefault="001C1C0A" w:rsidP="001C1C0A">
                          <w:pPr>
                            <w:spacing w:after="0"/>
                            <w:rPr>
                              <w:rFonts w:ascii="Calibri" w:hAnsi="Calibri" w:cs="Calibri"/>
                              <w:color w:val="000000"/>
                              <w:sz w:val="20"/>
                            </w:rPr>
                          </w:pPr>
                          <w:r w:rsidRPr="001C1C0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FACB17" id="_x0000_t202" coordsize="21600,21600" o:spt="202" path="m,l,21600r21600,l21600,xe">
              <v:stroke joinstyle="miter"/>
              <v:path gradientshapeok="t" o:connecttype="rect"/>
            </v:shapetype>
            <v:shape id="MSIPCMffcb489abc8124e019d2df89" o:spid="_x0000_s1026" type="#_x0000_t202" alt="{&quot;HashCode&quot;:-129182459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" o:allowincell="f" filled="f" stroked="f" strokeweight=".5pt">
              <v:textbox inset="20pt,0,,0">
                <w:txbxContent>
                  <w:p w14:paraId="6A61A695" w14:textId="3CD1C7EB" w:rsidR="001C1C0A" w:rsidRPr="001C1C0A" w:rsidRDefault="001C1C0A" w:rsidP="001C1C0A">
                    <w:pPr>
                      <w:spacing w:after="0"/>
                      <w:rPr>
                        <w:rFonts w:ascii="Calibri" w:hAnsi="Calibri" w:cs="Calibri"/>
                        <w:color w:val="000000"/>
                        <w:sz w:val="20"/>
                      </w:rPr>
                    </w:pPr>
                    <w:r w:rsidRPr="001C1C0A">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E5DF" w14:textId="0666EF1E" w:rsidR="00494A81" w:rsidRDefault="001C1C0A">
    <w:pPr>
      <w:pStyle w:val="Header"/>
    </w:pPr>
    <w:r>
      <w:rPr>
        <w:noProof/>
      </w:rPr>
      <mc:AlternateContent>
        <mc:Choice Requires="wps">
          <w:drawing>
            <wp:anchor distT="0" distB="0" distL="114300" distR="114300" simplePos="0" relativeHeight="251660288" behindDoc="0" locked="0" layoutInCell="0" allowOverlap="1" wp14:anchorId="35EFFB1C" wp14:editId="619E4DF1">
              <wp:simplePos x="0" y="0"/>
              <wp:positionH relativeFrom="page">
                <wp:posOffset>0</wp:posOffset>
              </wp:positionH>
              <wp:positionV relativeFrom="page">
                <wp:posOffset>190500</wp:posOffset>
              </wp:positionV>
              <wp:extent cx="10692130" cy="273050"/>
              <wp:effectExtent l="0" t="0" r="0" b="12700"/>
              <wp:wrapNone/>
              <wp:docPr id="2" name="MSIPCMb0cb43249791977e3088ed7a" descr="{&quot;HashCode&quot;:-12918245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96AB3" w14:textId="27B4FD5F" w:rsidR="001C1C0A" w:rsidRPr="001C1C0A" w:rsidRDefault="001C1C0A" w:rsidP="001C1C0A">
                          <w:pPr>
                            <w:spacing w:after="0"/>
                            <w:rPr>
                              <w:rFonts w:ascii="Calibri" w:hAnsi="Calibri" w:cs="Calibri"/>
                              <w:color w:val="000000"/>
                              <w:sz w:val="20"/>
                            </w:rPr>
                          </w:pPr>
                          <w:r w:rsidRPr="001C1C0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EFFB1C" id="_x0000_t202" coordsize="21600,21600" o:spt="202" path="m,l,21600r21600,l21600,xe">
              <v:stroke joinstyle="miter"/>
              <v:path gradientshapeok="t" o:connecttype="rect"/>
            </v:shapetype>
            <v:shape id="MSIPCMb0cb43249791977e3088ed7a" o:spid="_x0000_s1027" type="#_x0000_t202" alt="{&quot;HashCode&quot;:-1291824593,&quot;Height&quot;:595.0,&quot;Width&quot;:841.0,&quot;Placement&quot;:&quot;Header&quot;,&quot;Index&quot;:&quot;FirstPage&quot;,&quot;Section&quot;:1,&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" o:allowincell="f" filled="f" stroked="f" strokeweight=".5pt">
              <v:textbox inset="20pt,0,,0">
                <w:txbxContent>
                  <w:p w14:paraId="12596AB3" w14:textId="27B4FD5F" w:rsidR="001C1C0A" w:rsidRPr="001C1C0A" w:rsidRDefault="001C1C0A" w:rsidP="001C1C0A">
                    <w:pPr>
                      <w:spacing w:after="0"/>
                      <w:rPr>
                        <w:rFonts w:ascii="Calibri" w:hAnsi="Calibri" w:cs="Calibri"/>
                        <w:color w:val="000000"/>
                        <w:sz w:val="20"/>
                      </w:rPr>
                    </w:pPr>
                    <w:r w:rsidRPr="001C1C0A">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3DA5582"/>
    <w:multiLevelType w:val="hybridMultilevel"/>
    <w:tmpl w:val="2F9AA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F223E"/>
    <w:multiLevelType w:val="hybridMultilevel"/>
    <w:tmpl w:val="C738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5F5F"/>
    <w:multiLevelType w:val="hybridMultilevel"/>
    <w:tmpl w:val="21CA9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D298A"/>
    <w:multiLevelType w:val="hybridMultilevel"/>
    <w:tmpl w:val="A866C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036D0"/>
    <w:multiLevelType w:val="hybridMultilevel"/>
    <w:tmpl w:val="233E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3655B"/>
    <w:multiLevelType w:val="hybridMultilevel"/>
    <w:tmpl w:val="3F6C7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62B9F"/>
    <w:multiLevelType w:val="hybridMultilevel"/>
    <w:tmpl w:val="A0160AD0"/>
    <w:lvl w:ilvl="0" w:tplc="42DA19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7B0909"/>
    <w:multiLevelType w:val="multilevel"/>
    <w:tmpl w:val="F6FA5E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3"/>
  </w:num>
  <w:num w:numId="4">
    <w:abstractNumId w:val="11"/>
  </w:num>
  <w:num w:numId="5">
    <w:abstractNumId w:val="6"/>
  </w:num>
  <w:num w:numId="6">
    <w:abstractNumId w:val="9"/>
  </w:num>
  <w:num w:numId="7">
    <w:abstractNumId w:val="8"/>
  </w:num>
  <w:num w:numId="8">
    <w:abstractNumId w:val="0"/>
  </w:num>
  <w:num w:numId="9">
    <w:abstractNumId w:val="13"/>
  </w:num>
  <w:num w:numId="10">
    <w:abstractNumId w:val="4"/>
  </w:num>
  <w:num w:numId="11">
    <w:abstractNumId w:val="15"/>
  </w:num>
  <w:num w:numId="12">
    <w:abstractNumId w:val="14"/>
  </w:num>
  <w:num w:numId="13">
    <w:abstractNumId w:val="7"/>
  </w:num>
  <w:num w:numId="14">
    <w:abstractNumId w:val="2"/>
  </w:num>
  <w:num w:numId="15">
    <w:abstractNumId w:val="16"/>
  </w:num>
  <w:num w:numId="16">
    <w:abstractNumId w:val="10"/>
  </w:num>
  <w:num w:numId="17">
    <w:abstractNumId w:val="5"/>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MTK3tDQxNLc0NTVU0lEKTi0uzszPAykwrgUALxD25ywAAAA="/>
  </w:docVars>
  <w:rsids>
    <w:rsidRoot w:val="00EA056A"/>
    <w:rsid w:val="0000038F"/>
    <w:rsid w:val="0000647B"/>
    <w:rsid w:val="00007370"/>
    <w:rsid w:val="00012624"/>
    <w:rsid w:val="00022D8B"/>
    <w:rsid w:val="00023C33"/>
    <w:rsid w:val="0002543D"/>
    <w:rsid w:val="000301C5"/>
    <w:rsid w:val="00031330"/>
    <w:rsid w:val="0003212B"/>
    <w:rsid w:val="0003213E"/>
    <w:rsid w:val="0003242B"/>
    <w:rsid w:val="00035CCD"/>
    <w:rsid w:val="00036F9D"/>
    <w:rsid w:val="0004201B"/>
    <w:rsid w:val="0004295E"/>
    <w:rsid w:val="000470F0"/>
    <w:rsid w:val="00052B13"/>
    <w:rsid w:val="00054870"/>
    <w:rsid w:val="00055EC9"/>
    <w:rsid w:val="00056EA8"/>
    <w:rsid w:val="00057DC3"/>
    <w:rsid w:val="000756B5"/>
    <w:rsid w:val="000768F7"/>
    <w:rsid w:val="00081427"/>
    <w:rsid w:val="000829C1"/>
    <w:rsid w:val="00084180"/>
    <w:rsid w:val="000873D1"/>
    <w:rsid w:val="0008799D"/>
    <w:rsid w:val="0009138E"/>
    <w:rsid w:val="000A0608"/>
    <w:rsid w:val="000A1942"/>
    <w:rsid w:val="000A21E8"/>
    <w:rsid w:val="000A52D6"/>
    <w:rsid w:val="000B07E9"/>
    <w:rsid w:val="000B3CBB"/>
    <w:rsid w:val="000B3F1C"/>
    <w:rsid w:val="000B4895"/>
    <w:rsid w:val="000B4FED"/>
    <w:rsid w:val="000C0C64"/>
    <w:rsid w:val="000C190A"/>
    <w:rsid w:val="000C7D4E"/>
    <w:rsid w:val="000D002C"/>
    <w:rsid w:val="000D1BE1"/>
    <w:rsid w:val="000D46BE"/>
    <w:rsid w:val="000D67BE"/>
    <w:rsid w:val="000E19A2"/>
    <w:rsid w:val="000E3AF8"/>
    <w:rsid w:val="000E57DC"/>
    <w:rsid w:val="000E5B0D"/>
    <w:rsid w:val="000E64F0"/>
    <w:rsid w:val="000E7EBC"/>
    <w:rsid w:val="000F1C02"/>
    <w:rsid w:val="000F31EC"/>
    <w:rsid w:val="000F3B60"/>
    <w:rsid w:val="000F42F9"/>
    <w:rsid w:val="000F4FAA"/>
    <w:rsid w:val="000F6F6E"/>
    <w:rsid w:val="00101966"/>
    <w:rsid w:val="00103BFD"/>
    <w:rsid w:val="00107156"/>
    <w:rsid w:val="001119B1"/>
    <w:rsid w:val="00114444"/>
    <w:rsid w:val="00116943"/>
    <w:rsid w:val="0011704F"/>
    <w:rsid w:val="00121B8C"/>
    <w:rsid w:val="00122314"/>
    <w:rsid w:val="00122A81"/>
    <w:rsid w:val="00123513"/>
    <w:rsid w:val="0013018C"/>
    <w:rsid w:val="0013163E"/>
    <w:rsid w:val="001328E8"/>
    <w:rsid w:val="00133AAF"/>
    <w:rsid w:val="00134D13"/>
    <w:rsid w:val="001369D8"/>
    <w:rsid w:val="001372CB"/>
    <w:rsid w:val="00142517"/>
    <w:rsid w:val="00142CA2"/>
    <w:rsid w:val="00143366"/>
    <w:rsid w:val="0014570C"/>
    <w:rsid w:val="00150E35"/>
    <w:rsid w:val="00151ABC"/>
    <w:rsid w:val="00152EA6"/>
    <w:rsid w:val="001563BA"/>
    <w:rsid w:val="001567CA"/>
    <w:rsid w:val="00156E03"/>
    <w:rsid w:val="0016372C"/>
    <w:rsid w:val="00164F3E"/>
    <w:rsid w:val="00166354"/>
    <w:rsid w:val="001714EE"/>
    <w:rsid w:val="00171A79"/>
    <w:rsid w:val="001723E9"/>
    <w:rsid w:val="0018194D"/>
    <w:rsid w:val="001829F6"/>
    <w:rsid w:val="00184620"/>
    <w:rsid w:val="00187411"/>
    <w:rsid w:val="00191310"/>
    <w:rsid w:val="00192C3C"/>
    <w:rsid w:val="0019592A"/>
    <w:rsid w:val="0019670D"/>
    <w:rsid w:val="001A1E1B"/>
    <w:rsid w:val="001A454D"/>
    <w:rsid w:val="001A55BB"/>
    <w:rsid w:val="001A6187"/>
    <w:rsid w:val="001A66BA"/>
    <w:rsid w:val="001B13FD"/>
    <w:rsid w:val="001B3E1B"/>
    <w:rsid w:val="001B4D99"/>
    <w:rsid w:val="001B5654"/>
    <w:rsid w:val="001B7483"/>
    <w:rsid w:val="001B79D4"/>
    <w:rsid w:val="001B7D1B"/>
    <w:rsid w:val="001C02B6"/>
    <w:rsid w:val="001C0EE9"/>
    <w:rsid w:val="001C1C0A"/>
    <w:rsid w:val="001C496A"/>
    <w:rsid w:val="001C59D1"/>
    <w:rsid w:val="001C5AE9"/>
    <w:rsid w:val="001C74D1"/>
    <w:rsid w:val="001D2E21"/>
    <w:rsid w:val="001D3016"/>
    <w:rsid w:val="001D47E6"/>
    <w:rsid w:val="001D73C9"/>
    <w:rsid w:val="001DAAAC"/>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2860"/>
    <w:rsid w:val="002035AF"/>
    <w:rsid w:val="002041CD"/>
    <w:rsid w:val="0020544D"/>
    <w:rsid w:val="002054C5"/>
    <w:rsid w:val="002063B3"/>
    <w:rsid w:val="00207533"/>
    <w:rsid w:val="00210E0B"/>
    <w:rsid w:val="002112D8"/>
    <w:rsid w:val="002121AB"/>
    <w:rsid w:val="00213107"/>
    <w:rsid w:val="002137E0"/>
    <w:rsid w:val="00213D00"/>
    <w:rsid w:val="00220B62"/>
    <w:rsid w:val="00221D16"/>
    <w:rsid w:val="00222F93"/>
    <w:rsid w:val="0022333C"/>
    <w:rsid w:val="00224233"/>
    <w:rsid w:val="00224AD6"/>
    <w:rsid w:val="00224B60"/>
    <w:rsid w:val="00226672"/>
    <w:rsid w:val="00232D7F"/>
    <w:rsid w:val="0023676B"/>
    <w:rsid w:val="00236AF4"/>
    <w:rsid w:val="0023797B"/>
    <w:rsid w:val="00243476"/>
    <w:rsid w:val="00244C7B"/>
    <w:rsid w:val="00246021"/>
    <w:rsid w:val="00250474"/>
    <w:rsid w:val="00251414"/>
    <w:rsid w:val="00252A5C"/>
    <w:rsid w:val="0025629A"/>
    <w:rsid w:val="00257B39"/>
    <w:rsid w:val="00261CF3"/>
    <w:rsid w:val="002632C4"/>
    <w:rsid w:val="002640A6"/>
    <w:rsid w:val="00264458"/>
    <w:rsid w:val="00265C9A"/>
    <w:rsid w:val="002677E7"/>
    <w:rsid w:val="002718E1"/>
    <w:rsid w:val="00272B81"/>
    <w:rsid w:val="0027540E"/>
    <w:rsid w:val="00275AC7"/>
    <w:rsid w:val="00276EFF"/>
    <w:rsid w:val="00281AA2"/>
    <w:rsid w:val="00291B55"/>
    <w:rsid w:val="00292971"/>
    <w:rsid w:val="002947C8"/>
    <w:rsid w:val="0029774F"/>
    <w:rsid w:val="002A09D2"/>
    <w:rsid w:val="002A3FBB"/>
    <w:rsid w:val="002A428F"/>
    <w:rsid w:val="002A4EBE"/>
    <w:rsid w:val="002A6756"/>
    <w:rsid w:val="002A769E"/>
    <w:rsid w:val="002B2BD0"/>
    <w:rsid w:val="002B3287"/>
    <w:rsid w:val="002B3941"/>
    <w:rsid w:val="002B7079"/>
    <w:rsid w:val="002B7862"/>
    <w:rsid w:val="002C0E63"/>
    <w:rsid w:val="002C1C86"/>
    <w:rsid w:val="002C6948"/>
    <w:rsid w:val="002D47F3"/>
    <w:rsid w:val="002D7DC9"/>
    <w:rsid w:val="002E0CFF"/>
    <w:rsid w:val="002E22D9"/>
    <w:rsid w:val="002E4735"/>
    <w:rsid w:val="002E5BF2"/>
    <w:rsid w:val="002E6A53"/>
    <w:rsid w:val="002F33A7"/>
    <w:rsid w:val="002F34C4"/>
    <w:rsid w:val="002F438F"/>
    <w:rsid w:val="0030240B"/>
    <w:rsid w:val="003036BE"/>
    <w:rsid w:val="00303CAF"/>
    <w:rsid w:val="00304192"/>
    <w:rsid w:val="00304AD2"/>
    <w:rsid w:val="003065F7"/>
    <w:rsid w:val="00306830"/>
    <w:rsid w:val="00307EBE"/>
    <w:rsid w:val="00310CFA"/>
    <w:rsid w:val="003141C3"/>
    <w:rsid w:val="00316B5C"/>
    <w:rsid w:val="00320088"/>
    <w:rsid w:val="0032142C"/>
    <w:rsid w:val="00321475"/>
    <w:rsid w:val="0032183A"/>
    <w:rsid w:val="003224C5"/>
    <w:rsid w:val="0032450B"/>
    <w:rsid w:val="00324E1A"/>
    <w:rsid w:val="00327093"/>
    <w:rsid w:val="00331CCB"/>
    <w:rsid w:val="00342161"/>
    <w:rsid w:val="00343F03"/>
    <w:rsid w:val="00346A3B"/>
    <w:rsid w:val="003511E0"/>
    <w:rsid w:val="0035218E"/>
    <w:rsid w:val="00354086"/>
    <w:rsid w:val="00354E71"/>
    <w:rsid w:val="003553E0"/>
    <w:rsid w:val="00355BD0"/>
    <w:rsid w:val="003565D7"/>
    <w:rsid w:val="0035697F"/>
    <w:rsid w:val="00357134"/>
    <w:rsid w:val="00357FB7"/>
    <w:rsid w:val="0036317F"/>
    <w:rsid w:val="00365131"/>
    <w:rsid w:val="00365B31"/>
    <w:rsid w:val="00367533"/>
    <w:rsid w:val="00370D2E"/>
    <w:rsid w:val="00371C85"/>
    <w:rsid w:val="00372718"/>
    <w:rsid w:val="0037314A"/>
    <w:rsid w:val="0037448B"/>
    <w:rsid w:val="00377E5F"/>
    <w:rsid w:val="0038133F"/>
    <w:rsid w:val="003826EB"/>
    <w:rsid w:val="00386F71"/>
    <w:rsid w:val="00387E10"/>
    <w:rsid w:val="003930D9"/>
    <w:rsid w:val="003951BE"/>
    <w:rsid w:val="003A4408"/>
    <w:rsid w:val="003A5EC2"/>
    <w:rsid w:val="003B0E94"/>
    <w:rsid w:val="003B0F75"/>
    <w:rsid w:val="003B206A"/>
    <w:rsid w:val="003B24C4"/>
    <w:rsid w:val="003B4B9B"/>
    <w:rsid w:val="003B5F94"/>
    <w:rsid w:val="003B68F8"/>
    <w:rsid w:val="003B7B7B"/>
    <w:rsid w:val="003C27EF"/>
    <w:rsid w:val="003C43A7"/>
    <w:rsid w:val="003C665A"/>
    <w:rsid w:val="003D37D3"/>
    <w:rsid w:val="003E0B22"/>
    <w:rsid w:val="003E28BC"/>
    <w:rsid w:val="003E58C9"/>
    <w:rsid w:val="003F1B9C"/>
    <w:rsid w:val="003F584D"/>
    <w:rsid w:val="003F7B5A"/>
    <w:rsid w:val="00403076"/>
    <w:rsid w:val="004036FA"/>
    <w:rsid w:val="00405CD2"/>
    <w:rsid w:val="00405D9F"/>
    <w:rsid w:val="00406AA4"/>
    <w:rsid w:val="0041148D"/>
    <w:rsid w:val="00417A93"/>
    <w:rsid w:val="00421675"/>
    <w:rsid w:val="004227EB"/>
    <w:rsid w:val="0042321E"/>
    <w:rsid w:val="00423221"/>
    <w:rsid w:val="00425E1A"/>
    <w:rsid w:val="004261B4"/>
    <w:rsid w:val="00431490"/>
    <w:rsid w:val="004319EC"/>
    <w:rsid w:val="004334BB"/>
    <w:rsid w:val="00437124"/>
    <w:rsid w:val="00441968"/>
    <w:rsid w:val="004444FE"/>
    <w:rsid w:val="0044565F"/>
    <w:rsid w:val="004472DD"/>
    <w:rsid w:val="004511F4"/>
    <w:rsid w:val="004517A9"/>
    <w:rsid w:val="00454778"/>
    <w:rsid w:val="00455113"/>
    <w:rsid w:val="00455B9D"/>
    <w:rsid w:val="00457014"/>
    <w:rsid w:val="00457035"/>
    <w:rsid w:val="00457FB4"/>
    <w:rsid w:val="00460720"/>
    <w:rsid w:val="004628C9"/>
    <w:rsid w:val="00464075"/>
    <w:rsid w:val="004644F8"/>
    <w:rsid w:val="004676B5"/>
    <w:rsid w:val="00470597"/>
    <w:rsid w:val="00470C20"/>
    <w:rsid w:val="00470F65"/>
    <w:rsid w:val="00471065"/>
    <w:rsid w:val="0047429D"/>
    <w:rsid w:val="0047664D"/>
    <w:rsid w:val="00476B56"/>
    <w:rsid w:val="00482427"/>
    <w:rsid w:val="0048368A"/>
    <w:rsid w:val="004879A3"/>
    <w:rsid w:val="0049029C"/>
    <w:rsid w:val="00490772"/>
    <w:rsid w:val="0049108A"/>
    <w:rsid w:val="00494A81"/>
    <w:rsid w:val="00496233"/>
    <w:rsid w:val="00496F08"/>
    <w:rsid w:val="004A0BC6"/>
    <w:rsid w:val="004A1E61"/>
    <w:rsid w:val="004A2F72"/>
    <w:rsid w:val="004A2FF9"/>
    <w:rsid w:val="004A446F"/>
    <w:rsid w:val="004A6011"/>
    <w:rsid w:val="004B040F"/>
    <w:rsid w:val="004B6382"/>
    <w:rsid w:val="004B6F87"/>
    <w:rsid w:val="004C3AA9"/>
    <w:rsid w:val="004C3ACB"/>
    <w:rsid w:val="004C4E3B"/>
    <w:rsid w:val="004D0DAA"/>
    <w:rsid w:val="004D1E5C"/>
    <w:rsid w:val="004D67AC"/>
    <w:rsid w:val="004E033C"/>
    <w:rsid w:val="004E17E4"/>
    <w:rsid w:val="004E4297"/>
    <w:rsid w:val="004E4469"/>
    <w:rsid w:val="004E6290"/>
    <w:rsid w:val="004E6487"/>
    <w:rsid w:val="004E7146"/>
    <w:rsid w:val="004E7B82"/>
    <w:rsid w:val="004F08C6"/>
    <w:rsid w:val="004F13D0"/>
    <w:rsid w:val="004F1B2B"/>
    <w:rsid w:val="004F3936"/>
    <w:rsid w:val="004F3A1D"/>
    <w:rsid w:val="005015DC"/>
    <w:rsid w:val="0050246D"/>
    <w:rsid w:val="0050451D"/>
    <w:rsid w:val="00504E69"/>
    <w:rsid w:val="0050568F"/>
    <w:rsid w:val="00505E5F"/>
    <w:rsid w:val="00505F5D"/>
    <w:rsid w:val="00507485"/>
    <w:rsid w:val="0050782F"/>
    <w:rsid w:val="00510044"/>
    <w:rsid w:val="0051202A"/>
    <w:rsid w:val="00513875"/>
    <w:rsid w:val="00515A78"/>
    <w:rsid w:val="0051707E"/>
    <w:rsid w:val="005175EF"/>
    <w:rsid w:val="00524F47"/>
    <w:rsid w:val="005263AE"/>
    <w:rsid w:val="0053058E"/>
    <w:rsid w:val="00530D48"/>
    <w:rsid w:val="00531551"/>
    <w:rsid w:val="005323D5"/>
    <w:rsid w:val="005328FD"/>
    <w:rsid w:val="00534E03"/>
    <w:rsid w:val="005352A4"/>
    <w:rsid w:val="00535705"/>
    <w:rsid w:val="0053576A"/>
    <w:rsid w:val="005364EF"/>
    <w:rsid w:val="0053651E"/>
    <w:rsid w:val="00537E94"/>
    <w:rsid w:val="00551EAC"/>
    <w:rsid w:val="005574FF"/>
    <w:rsid w:val="00560078"/>
    <w:rsid w:val="005615AE"/>
    <w:rsid w:val="00561AA4"/>
    <w:rsid w:val="00563ED2"/>
    <w:rsid w:val="0056474F"/>
    <w:rsid w:val="0057197B"/>
    <w:rsid w:val="005769A5"/>
    <w:rsid w:val="00577C5E"/>
    <w:rsid w:val="00581AA7"/>
    <w:rsid w:val="00582240"/>
    <w:rsid w:val="005902A0"/>
    <w:rsid w:val="00591407"/>
    <w:rsid w:val="00594336"/>
    <w:rsid w:val="00594967"/>
    <w:rsid w:val="00594E11"/>
    <w:rsid w:val="0059618A"/>
    <w:rsid w:val="00596B39"/>
    <w:rsid w:val="00597E6D"/>
    <w:rsid w:val="005A6641"/>
    <w:rsid w:val="005A6766"/>
    <w:rsid w:val="005B0FC2"/>
    <w:rsid w:val="005B2315"/>
    <w:rsid w:val="005B3994"/>
    <w:rsid w:val="005B3DD4"/>
    <w:rsid w:val="005B593B"/>
    <w:rsid w:val="005C2563"/>
    <w:rsid w:val="005D06AF"/>
    <w:rsid w:val="005D09B5"/>
    <w:rsid w:val="005D16BC"/>
    <w:rsid w:val="005D425B"/>
    <w:rsid w:val="005D7672"/>
    <w:rsid w:val="005E03FC"/>
    <w:rsid w:val="005E22D2"/>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E98"/>
    <w:rsid w:val="00632614"/>
    <w:rsid w:val="00633DB1"/>
    <w:rsid w:val="006352C0"/>
    <w:rsid w:val="0064189F"/>
    <w:rsid w:val="00642639"/>
    <w:rsid w:val="00642B1D"/>
    <w:rsid w:val="00644CA7"/>
    <w:rsid w:val="00644FBD"/>
    <w:rsid w:val="00646487"/>
    <w:rsid w:val="00646F8E"/>
    <w:rsid w:val="006505B8"/>
    <w:rsid w:val="00650B9D"/>
    <w:rsid w:val="0065107F"/>
    <w:rsid w:val="00651697"/>
    <w:rsid w:val="00651822"/>
    <w:rsid w:val="00652962"/>
    <w:rsid w:val="00662466"/>
    <w:rsid w:val="00663AD3"/>
    <w:rsid w:val="00665492"/>
    <w:rsid w:val="00666B74"/>
    <w:rsid w:val="00670617"/>
    <w:rsid w:val="00670880"/>
    <w:rsid w:val="00670A1D"/>
    <w:rsid w:val="00672A76"/>
    <w:rsid w:val="006777FC"/>
    <w:rsid w:val="00677865"/>
    <w:rsid w:val="00680A5D"/>
    <w:rsid w:val="00682121"/>
    <w:rsid w:val="006822C3"/>
    <w:rsid w:val="0068398B"/>
    <w:rsid w:val="006874E2"/>
    <w:rsid w:val="00691DAB"/>
    <w:rsid w:val="00692E79"/>
    <w:rsid w:val="006951F2"/>
    <w:rsid w:val="00695401"/>
    <w:rsid w:val="00696CE4"/>
    <w:rsid w:val="006A16A4"/>
    <w:rsid w:val="006A31E5"/>
    <w:rsid w:val="006A4609"/>
    <w:rsid w:val="006A4976"/>
    <w:rsid w:val="006A6744"/>
    <w:rsid w:val="006B06F5"/>
    <w:rsid w:val="006B17EA"/>
    <w:rsid w:val="006B22DD"/>
    <w:rsid w:val="006C1102"/>
    <w:rsid w:val="006D1F8F"/>
    <w:rsid w:val="006D25E3"/>
    <w:rsid w:val="006D4586"/>
    <w:rsid w:val="006D5781"/>
    <w:rsid w:val="006D5B1E"/>
    <w:rsid w:val="006D5DF2"/>
    <w:rsid w:val="006E30D6"/>
    <w:rsid w:val="006F00FD"/>
    <w:rsid w:val="006F2389"/>
    <w:rsid w:val="006F3317"/>
    <w:rsid w:val="006F6C34"/>
    <w:rsid w:val="006F72A5"/>
    <w:rsid w:val="006F76B4"/>
    <w:rsid w:val="007032DE"/>
    <w:rsid w:val="00704AB0"/>
    <w:rsid w:val="00707A9C"/>
    <w:rsid w:val="007119E5"/>
    <w:rsid w:val="00715C2C"/>
    <w:rsid w:val="00717653"/>
    <w:rsid w:val="007200BD"/>
    <w:rsid w:val="007245FA"/>
    <w:rsid w:val="00724BDE"/>
    <w:rsid w:val="0073380D"/>
    <w:rsid w:val="00733C3B"/>
    <w:rsid w:val="00737CD6"/>
    <w:rsid w:val="007403A0"/>
    <w:rsid w:val="0074051E"/>
    <w:rsid w:val="00740BEC"/>
    <w:rsid w:val="00741484"/>
    <w:rsid w:val="00742AE9"/>
    <w:rsid w:val="007432D3"/>
    <w:rsid w:val="007443EB"/>
    <w:rsid w:val="0074544F"/>
    <w:rsid w:val="007465FC"/>
    <w:rsid w:val="007474C1"/>
    <w:rsid w:val="00750540"/>
    <w:rsid w:val="00752777"/>
    <w:rsid w:val="00753B5D"/>
    <w:rsid w:val="007560AC"/>
    <w:rsid w:val="00756A4D"/>
    <w:rsid w:val="00757262"/>
    <w:rsid w:val="00757BC8"/>
    <w:rsid w:val="00760CBE"/>
    <w:rsid w:val="00764F2C"/>
    <w:rsid w:val="00770050"/>
    <w:rsid w:val="00772027"/>
    <w:rsid w:val="007821E2"/>
    <w:rsid w:val="00784173"/>
    <w:rsid w:val="00785BC4"/>
    <w:rsid w:val="00785FD7"/>
    <w:rsid w:val="00786778"/>
    <w:rsid w:val="007876A5"/>
    <w:rsid w:val="00791850"/>
    <w:rsid w:val="00793041"/>
    <w:rsid w:val="00795CB3"/>
    <w:rsid w:val="00796BE5"/>
    <w:rsid w:val="00796E9B"/>
    <w:rsid w:val="007A03F4"/>
    <w:rsid w:val="007A256D"/>
    <w:rsid w:val="007A29A9"/>
    <w:rsid w:val="007A621F"/>
    <w:rsid w:val="007A741E"/>
    <w:rsid w:val="007A77DB"/>
    <w:rsid w:val="007A78BF"/>
    <w:rsid w:val="007B021D"/>
    <w:rsid w:val="007B15BE"/>
    <w:rsid w:val="007B1D95"/>
    <w:rsid w:val="007B5B45"/>
    <w:rsid w:val="007B5BFC"/>
    <w:rsid w:val="007B624D"/>
    <w:rsid w:val="007B7021"/>
    <w:rsid w:val="007C0E22"/>
    <w:rsid w:val="007C0E51"/>
    <w:rsid w:val="007C1559"/>
    <w:rsid w:val="007C2DEB"/>
    <w:rsid w:val="007C487F"/>
    <w:rsid w:val="007C7A58"/>
    <w:rsid w:val="007D1C0B"/>
    <w:rsid w:val="007D1E2D"/>
    <w:rsid w:val="007D21DD"/>
    <w:rsid w:val="007D72D6"/>
    <w:rsid w:val="007E0044"/>
    <w:rsid w:val="007E14FE"/>
    <w:rsid w:val="007E4A1F"/>
    <w:rsid w:val="007E7842"/>
    <w:rsid w:val="007F3664"/>
    <w:rsid w:val="007F4FA2"/>
    <w:rsid w:val="007F776A"/>
    <w:rsid w:val="007F798A"/>
    <w:rsid w:val="00800C4E"/>
    <w:rsid w:val="00801A75"/>
    <w:rsid w:val="00803F4D"/>
    <w:rsid w:val="00803F68"/>
    <w:rsid w:val="008074E6"/>
    <w:rsid w:val="00811721"/>
    <w:rsid w:val="00813A85"/>
    <w:rsid w:val="00814B3C"/>
    <w:rsid w:val="00814E46"/>
    <w:rsid w:val="0081605D"/>
    <w:rsid w:val="00822C44"/>
    <w:rsid w:val="00823593"/>
    <w:rsid w:val="008306BF"/>
    <w:rsid w:val="00831AF6"/>
    <w:rsid w:val="008331C2"/>
    <w:rsid w:val="00833AFD"/>
    <w:rsid w:val="008348C2"/>
    <w:rsid w:val="00837260"/>
    <w:rsid w:val="008421D3"/>
    <w:rsid w:val="00844533"/>
    <w:rsid w:val="00847FBA"/>
    <w:rsid w:val="008502D0"/>
    <w:rsid w:val="008504A6"/>
    <w:rsid w:val="00851CBF"/>
    <w:rsid w:val="00854341"/>
    <w:rsid w:val="008554B1"/>
    <w:rsid w:val="008570D0"/>
    <w:rsid w:val="00860942"/>
    <w:rsid w:val="0086099D"/>
    <w:rsid w:val="008635F6"/>
    <w:rsid w:val="008676B8"/>
    <w:rsid w:val="00880B6E"/>
    <w:rsid w:val="0088172F"/>
    <w:rsid w:val="00881AFD"/>
    <w:rsid w:val="0088235C"/>
    <w:rsid w:val="0088323C"/>
    <w:rsid w:val="00883922"/>
    <w:rsid w:val="008842DA"/>
    <w:rsid w:val="008849DF"/>
    <w:rsid w:val="0088687B"/>
    <w:rsid w:val="00891D42"/>
    <w:rsid w:val="00893522"/>
    <w:rsid w:val="008942B2"/>
    <w:rsid w:val="00894B39"/>
    <w:rsid w:val="00896220"/>
    <w:rsid w:val="008979EA"/>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1EF2"/>
    <w:rsid w:val="008D2ADD"/>
    <w:rsid w:val="008D2B5A"/>
    <w:rsid w:val="008D4157"/>
    <w:rsid w:val="008E1A63"/>
    <w:rsid w:val="008E741D"/>
    <w:rsid w:val="008E74D8"/>
    <w:rsid w:val="008F474E"/>
    <w:rsid w:val="008F4AA1"/>
    <w:rsid w:val="008F5203"/>
    <w:rsid w:val="008F5281"/>
    <w:rsid w:val="00900C01"/>
    <w:rsid w:val="00901343"/>
    <w:rsid w:val="00901B79"/>
    <w:rsid w:val="00920BC8"/>
    <w:rsid w:val="00921135"/>
    <w:rsid w:val="00921CE6"/>
    <w:rsid w:val="009230AD"/>
    <w:rsid w:val="0092549C"/>
    <w:rsid w:val="00930BBF"/>
    <w:rsid w:val="00934008"/>
    <w:rsid w:val="00934851"/>
    <w:rsid w:val="00934F1B"/>
    <w:rsid w:val="009361BB"/>
    <w:rsid w:val="0094011F"/>
    <w:rsid w:val="00940753"/>
    <w:rsid w:val="00941174"/>
    <w:rsid w:val="00943CE7"/>
    <w:rsid w:val="00944E5C"/>
    <w:rsid w:val="00946BC3"/>
    <w:rsid w:val="00952F85"/>
    <w:rsid w:val="00953ECE"/>
    <w:rsid w:val="0095475C"/>
    <w:rsid w:val="00956ACE"/>
    <w:rsid w:val="0096086F"/>
    <w:rsid w:val="0096272D"/>
    <w:rsid w:val="0096477F"/>
    <w:rsid w:val="00964AA9"/>
    <w:rsid w:val="00965FD5"/>
    <w:rsid w:val="00976662"/>
    <w:rsid w:val="00981DCD"/>
    <w:rsid w:val="0098421D"/>
    <w:rsid w:val="00984B4D"/>
    <w:rsid w:val="00984BD6"/>
    <w:rsid w:val="009856E9"/>
    <w:rsid w:val="009858E0"/>
    <w:rsid w:val="00990AD6"/>
    <w:rsid w:val="009914B7"/>
    <w:rsid w:val="00995DCB"/>
    <w:rsid w:val="0099682A"/>
    <w:rsid w:val="009A1984"/>
    <w:rsid w:val="009A396B"/>
    <w:rsid w:val="009A67A7"/>
    <w:rsid w:val="009A6B8F"/>
    <w:rsid w:val="009A6EF3"/>
    <w:rsid w:val="009B0180"/>
    <w:rsid w:val="009B66ED"/>
    <w:rsid w:val="009B6A13"/>
    <w:rsid w:val="009C1FDA"/>
    <w:rsid w:val="009C40A4"/>
    <w:rsid w:val="009C5093"/>
    <w:rsid w:val="009C513B"/>
    <w:rsid w:val="009C543A"/>
    <w:rsid w:val="009E1A1F"/>
    <w:rsid w:val="009E25AA"/>
    <w:rsid w:val="009E340A"/>
    <w:rsid w:val="009E4940"/>
    <w:rsid w:val="009E6218"/>
    <w:rsid w:val="009F0097"/>
    <w:rsid w:val="009F157F"/>
    <w:rsid w:val="009F2305"/>
    <w:rsid w:val="009F5068"/>
    <w:rsid w:val="009F7352"/>
    <w:rsid w:val="009F78F5"/>
    <w:rsid w:val="00A001F3"/>
    <w:rsid w:val="00A01722"/>
    <w:rsid w:val="00A02179"/>
    <w:rsid w:val="00A0219F"/>
    <w:rsid w:val="00A02754"/>
    <w:rsid w:val="00A036B6"/>
    <w:rsid w:val="00A04316"/>
    <w:rsid w:val="00A045DA"/>
    <w:rsid w:val="00A04B7A"/>
    <w:rsid w:val="00A04E2E"/>
    <w:rsid w:val="00A067A9"/>
    <w:rsid w:val="00A117E9"/>
    <w:rsid w:val="00A12A18"/>
    <w:rsid w:val="00A14EDE"/>
    <w:rsid w:val="00A160E9"/>
    <w:rsid w:val="00A2169D"/>
    <w:rsid w:val="00A22E6A"/>
    <w:rsid w:val="00A237E4"/>
    <w:rsid w:val="00A24B69"/>
    <w:rsid w:val="00A270A8"/>
    <w:rsid w:val="00A31E24"/>
    <w:rsid w:val="00A354E3"/>
    <w:rsid w:val="00A35D1B"/>
    <w:rsid w:val="00A36E4E"/>
    <w:rsid w:val="00A43196"/>
    <w:rsid w:val="00A457DA"/>
    <w:rsid w:val="00A5258A"/>
    <w:rsid w:val="00A54508"/>
    <w:rsid w:val="00A55DC4"/>
    <w:rsid w:val="00A56A26"/>
    <w:rsid w:val="00A578C2"/>
    <w:rsid w:val="00A57FC8"/>
    <w:rsid w:val="00A60CFF"/>
    <w:rsid w:val="00A61100"/>
    <w:rsid w:val="00A61C3D"/>
    <w:rsid w:val="00A62562"/>
    <w:rsid w:val="00A64077"/>
    <w:rsid w:val="00A65539"/>
    <w:rsid w:val="00A65DDC"/>
    <w:rsid w:val="00A65FDF"/>
    <w:rsid w:val="00A67592"/>
    <w:rsid w:val="00A67B2F"/>
    <w:rsid w:val="00A70580"/>
    <w:rsid w:val="00A71A34"/>
    <w:rsid w:val="00A7486D"/>
    <w:rsid w:val="00A75AE4"/>
    <w:rsid w:val="00A762F5"/>
    <w:rsid w:val="00A84841"/>
    <w:rsid w:val="00A85E2D"/>
    <w:rsid w:val="00A91FEF"/>
    <w:rsid w:val="00A94DA9"/>
    <w:rsid w:val="00A96579"/>
    <w:rsid w:val="00A9699A"/>
    <w:rsid w:val="00AA0907"/>
    <w:rsid w:val="00AA17B7"/>
    <w:rsid w:val="00AB0A07"/>
    <w:rsid w:val="00AB1B30"/>
    <w:rsid w:val="00AB3BB2"/>
    <w:rsid w:val="00AB43E7"/>
    <w:rsid w:val="00AB46BB"/>
    <w:rsid w:val="00AB48A9"/>
    <w:rsid w:val="00AC15E1"/>
    <w:rsid w:val="00AC3172"/>
    <w:rsid w:val="00AC3BA5"/>
    <w:rsid w:val="00AC4701"/>
    <w:rsid w:val="00AC493E"/>
    <w:rsid w:val="00AC4D40"/>
    <w:rsid w:val="00AD19A6"/>
    <w:rsid w:val="00AD1C20"/>
    <w:rsid w:val="00AD209B"/>
    <w:rsid w:val="00AD42AF"/>
    <w:rsid w:val="00AE1797"/>
    <w:rsid w:val="00AF0BF1"/>
    <w:rsid w:val="00AF2323"/>
    <w:rsid w:val="00AF5D06"/>
    <w:rsid w:val="00AF6129"/>
    <w:rsid w:val="00B0424F"/>
    <w:rsid w:val="00B04898"/>
    <w:rsid w:val="00B048CA"/>
    <w:rsid w:val="00B10684"/>
    <w:rsid w:val="00B116F6"/>
    <w:rsid w:val="00B1534A"/>
    <w:rsid w:val="00B17A69"/>
    <w:rsid w:val="00B207DF"/>
    <w:rsid w:val="00B2213F"/>
    <w:rsid w:val="00B30E74"/>
    <w:rsid w:val="00B321E7"/>
    <w:rsid w:val="00B32F12"/>
    <w:rsid w:val="00B34722"/>
    <w:rsid w:val="00B34DBE"/>
    <w:rsid w:val="00B355FB"/>
    <w:rsid w:val="00B3632D"/>
    <w:rsid w:val="00B405D0"/>
    <w:rsid w:val="00B4255F"/>
    <w:rsid w:val="00B4390F"/>
    <w:rsid w:val="00B45FB9"/>
    <w:rsid w:val="00B4650F"/>
    <w:rsid w:val="00B46F79"/>
    <w:rsid w:val="00B50121"/>
    <w:rsid w:val="00B50327"/>
    <w:rsid w:val="00B53AA0"/>
    <w:rsid w:val="00B5461D"/>
    <w:rsid w:val="00B56E74"/>
    <w:rsid w:val="00B60E64"/>
    <w:rsid w:val="00B643AF"/>
    <w:rsid w:val="00B64A30"/>
    <w:rsid w:val="00B64E5F"/>
    <w:rsid w:val="00B73260"/>
    <w:rsid w:val="00B757CE"/>
    <w:rsid w:val="00B80761"/>
    <w:rsid w:val="00B81793"/>
    <w:rsid w:val="00B82EDA"/>
    <w:rsid w:val="00B855B3"/>
    <w:rsid w:val="00B866FA"/>
    <w:rsid w:val="00B86770"/>
    <w:rsid w:val="00B86A85"/>
    <w:rsid w:val="00B90103"/>
    <w:rsid w:val="00B907CC"/>
    <w:rsid w:val="00B91A71"/>
    <w:rsid w:val="00B91BC2"/>
    <w:rsid w:val="00B92F98"/>
    <w:rsid w:val="00B964E0"/>
    <w:rsid w:val="00BA01E8"/>
    <w:rsid w:val="00BA0C7B"/>
    <w:rsid w:val="00BA3C95"/>
    <w:rsid w:val="00BB61CE"/>
    <w:rsid w:val="00BB69DB"/>
    <w:rsid w:val="00BC2970"/>
    <w:rsid w:val="00BC3252"/>
    <w:rsid w:val="00BC3381"/>
    <w:rsid w:val="00BC4CA8"/>
    <w:rsid w:val="00BC6217"/>
    <w:rsid w:val="00BD0483"/>
    <w:rsid w:val="00BD31A4"/>
    <w:rsid w:val="00BD58FA"/>
    <w:rsid w:val="00BD73D4"/>
    <w:rsid w:val="00BE0DB4"/>
    <w:rsid w:val="00BE5BED"/>
    <w:rsid w:val="00BE6FA5"/>
    <w:rsid w:val="00BE79CF"/>
    <w:rsid w:val="00BF15F8"/>
    <w:rsid w:val="00BF2483"/>
    <w:rsid w:val="00BF3B97"/>
    <w:rsid w:val="00BF46FB"/>
    <w:rsid w:val="00BF7053"/>
    <w:rsid w:val="00BF7CEA"/>
    <w:rsid w:val="00C02CE4"/>
    <w:rsid w:val="00C04579"/>
    <w:rsid w:val="00C04A5B"/>
    <w:rsid w:val="00C107B8"/>
    <w:rsid w:val="00C10D3C"/>
    <w:rsid w:val="00C14351"/>
    <w:rsid w:val="00C154CB"/>
    <w:rsid w:val="00C20E57"/>
    <w:rsid w:val="00C23183"/>
    <w:rsid w:val="00C24187"/>
    <w:rsid w:val="00C27EE5"/>
    <w:rsid w:val="00C31B82"/>
    <w:rsid w:val="00C32891"/>
    <w:rsid w:val="00C3356E"/>
    <w:rsid w:val="00C36665"/>
    <w:rsid w:val="00C36E48"/>
    <w:rsid w:val="00C40C74"/>
    <w:rsid w:val="00C41E6E"/>
    <w:rsid w:val="00C42280"/>
    <w:rsid w:val="00C4396B"/>
    <w:rsid w:val="00C461AF"/>
    <w:rsid w:val="00C46783"/>
    <w:rsid w:val="00C509B4"/>
    <w:rsid w:val="00C50ED1"/>
    <w:rsid w:val="00C54090"/>
    <w:rsid w:val="00C568B5"/>
    <w:rsid w:val="00C60661"/>
    <w:rsid w:val="00C60CB6"/>
    <w:rsid w:val="00C60D3B"/>
    <w:rsid w:val="00C62133"/>
    <w:rsid w:val="00C626C2"/>
    <w:rsid w:val="00C62F76"/>
    <w:rsid w:val="00C64945"/>
    <w:rsid w:val="00C65488"/>
    <w:rsid w:val="00C86E73"/>
    <w:rsid w:val="00C90295"/>
    <w:rsid w:val="00C928AE"/>
    <w:rsid w:val="00C94BAC"/>
    <w:rsid w:val="00C94E69"/>
    <w:rsid w:val="00C95251"/>
    <w:rsid w:val="00C96190"/>
    <w:rsid w:val="00C97D9D"/>
    <w:rsid w:val="00CA0371"/>
    <w:rsid w:val="00CA1466"/>
    <w:rsid w:val="00CA3F5F"/>
    <w:rsid w:val="00CA4CC0"/>
    <w:rsid w:val="00CA7E2D"/>
    <w:rsid w:val="00CB0BE8"/>
    <w:rsid w:val="00CB0D61"/>
    <w:rsid w:val="00CB1418"/>
    <w:rsid w:val="00CB19D4"/>
    <w:rsid w:val="00CB22D2"/>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E3184"/>
    <w:rsid w:val="00CE7727"/>
    <w:rsid w:val="00CF7C4E"/>
    <w:rsid w:val="00D00E6F"/>
    <w:rsid w:val="00D0153C"/>
    <w:rsid w:val="00D05A18"/>
    <w:rsid w:val="00D05EA5"/>
    <w:rsid w:val="00D06758"/>
    <w:rsid w:val="00D06EB6"/>
    <w:rsid w:val="00D11033"/>
    <w:rsid w:val="00D11E09"/>
    <w:rsid w:val="00D13B32"/>
    <w:rsid w:val="00D14CF4"/>
    <w:rsid w:val="00D14E59"/>
    <w:rsid w:val="00D20461"/>
    <w:rsid w:val="00D235BF"/>
    <w:rsid w:val="00D23686"/>
    <w:rsid w:val="00D236CE"/>
    <w:rsid w:val="00D23A0A"/>
    <w:rsid w:val="00D23E37"/>
    <w:rsid w:val="00D249DC"/>
    <w:rsid w:val="00D27B4F"/>
    <w:rsid w:val="00D27FCB"/>
    <w:rsid w:val="00D30B8E"/>
    <w:rsid w:val="00D320A1"/>
    <w:rsid w:val="00D32D95"/>
    <w:rsid w:val="00D339E9"/>
    <w:rsid w:val="00D34EA8"/>
    <w:rsid w:val="00D351FE"/>
    <w:rsid w:val="00D35527"/>
    <w:rsid w:val="00D4192F"/>
    <w:rsid w:val="00D41FE1"/>
    <w:rsid w:val="00D4231A"/>
    <w:rsid w:val="00D52B70"/>
    <w:rsid w:val="00D54F79"/>
    <w:rsid w:val="00D61AEF"/>
    <w:rsid w:val="00D61F79"/>
    <w:rsid w:val="00D62CBE"/>
    <w:rsid w:val="00D647C5"/>
    <w:rsid w:val="00D65959"/>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6DB"/>
    <w:rsid w:val="00DC3B04"/>
    <w:rsid w:val="00DC492E"/>
    <w:rsid w:val="00DC7A6F"/>
    <w:rsid w:val="00DC7B96"/>
    <w:rsid w:val="00DC7D48"/>
    <w:rsid w:val="00DD08EC"/>
    <w:rsid w:val="00DD38D5"/>
    <w:rsid w:val="00DD3AB2"/>
    <w:rsid w:val="00DD413A"/>
    <w:rsid w:val="00DD5E2F"/>
    <w:rsid w:val="00DD6F8A"/>
    <w:rsid w:val="00DE1DFE"/>
    <w:rsid w:val="00DE3E24"/>
    <w:rsid w:val="00DE5BD5"/>
    <w:rsid w:val="00DE7F55"/>
    <w:rsid w:val="00DF0151"/>
    <w:rsid w:val="00DF2456"/>
    <w:rsid w:val="00DF3D67"/>
    <w:rsid w:val="00DF773A"/>
    <w:rsid w:val="00E00D50"/>
    <w:rsid w:val="00E03066"/>
    <w:rsid w:val="00E0332F"/>
    <w:rsid w:val="00E03BC0"/>
    <w:rsid w:val="00E0433B"/>
    <w:rsid w:val="00E10A6B"/>
    <w:rsid w:val="00E10F54"/>
    <w:rsid w:val="00E14545"/>
    <w:rsid w:val="00E14F3D"/>
    <w:rsid w:val="00E1586C"/>
    <w:rsid w:val="00E20E4C"/>
    <w:rsid w:val="00E21F5F"/>
    <w:rsid w:val="00E2469D"/>
    <w:rsid w:val="00E278F9"/>
    <w:rsid w:val="00E30CCD"/>
    <w:rsid w:val="00E31D5E"/>
    <w:rsid w:val="00E34500"/>
    <w:rsid w:val="00E368F9"/>
    <w:rsid w:val="00E42159"/>
    <w:rsid w:val="00E425C4"/>
    <w:rsid w:val="00E43FF3"/>
    <w:rsid w:val="00E509F8"/>
    <w:rsid w:val="00E5119F"/>
    <w:rsid w:val="00E55BAF"/>
    <w:rsid w:val="00E576EA"/>
    <w:rsid w:val="00E57E7A"/>
    <w:rsid w:val="00E61165"/>
    <w:rsid w:val="00E611D7"/>
    <w:rsid w:val="00E61F87"/>
    <w:rsid w:val="00E622A0"/>
    <w:rsid w:val="00E6295A"/>
    <w:rsid w:val="00E64660"/>
    <w:rsid w:val="00E65348"/>
    <w:rsid w:val="00E655CE"/>
    <w:rsid w:val="00E6692C"/>
    <w:rsid w:val="00E6746F"/>
    <w:rsid w:val="00E70CC8"/>
    <w:rsid w:val="00E74913"/>
    <w:rsid w:val="00E858A9"/>
    <w:rsid w:val="00E90B42"/>
    <w:rsid w:val="00E97903"/>
    <w:rsid w:val="00EA056A"/>
    <w:rsid w:val="00EA144B"/>
    <w:rsid w:val="00EA1A26"/>
    <w:rsid w:val="00EA445F"/>
    <w:rsid w:val="00EA57C4"/>
    <w:rsid w:val="00EA6D0D"/>
    <w:rsid w:val="00EA7A86"/>
    <w:rsid w:val="00EB1037"/>
    <w:rsid w:val="00EB1427"/>
    <w:rsid w:val="00EB197E"/>
    <w:rsid w:val="00EB36F1"/>
    <w:rsid w:val="00EB59AF"/>
    <w:rsid w:val="00EB694E"/>
    <w:rsid w:val="00EB736C"/>
    <w:rsid w:val="00EC09FD"/>
    <w:rsid w:val="00EC5092"/>
    <w:rsid w:val="00EC5545"/>
    <w:rsid w:val="00EC58F0"/>
    <w:rsid w:val="00EC66EA"/>
    <w:rsid w:val="00ED385A"/>
    <w:rsid w:val="00ED3EAD"/>
    <w:rsid w:val="00ED5A39"/>
    <w:rsid w:val="00ED6291"/>
    <w:rsid w:val="00ED66A8"/>
    <w:rsid w:val="00ED68FB"/>
    <w:rsid w:val="00ED6D41"/>
    <w:rsid w:val="00EE5759"/>
    <w:rsid w:val="00EE72D7"/>
    <w:rsid w:val="00EE7348"/>
    <w:rsid w:val="00EF0D50"/>
    <w:rsid w:val="00EF2FE0"/>
    <w:rsid w:val="00EF3299"/>
    <w:rsid w:val="00EF603A"/>
    <w:rsid w:val="00EF7C8B"/>
    <w:rsid w:val="00F01E2D"/>
    <w:rsid w:val="00F042FC"/>
    <w:rsid w:val="00F04C47"/>
    <w:rsid w:val="00F051F3"/>
    <w:rsid w:val="00F10570"/>
    <w:rsid w:val="00F106EE"/>
    <w:rsid w:val="00F11227"/>
    <w:rsid w:val="00F14267"/>
    <w:rsid w:val="00F15F1F"/>
    <w:rsid w:val="00F1770D"/>
    <w:rsid w:val="00F2214F"/>
    <w:rsid w:val="00F248D2"/>
    <w:rsid w:val="00F25E34"/>
    <w:rsid w:val="00F26504"/>
    <w:rsid w:val="00F27008"/>
    <w:rsid w:val="00F3217D"/>
    <w:rsid w:val="00F3633B"/>
    <w:rsid w:val="00F3667D"/>
    <w:rsid w:val="00F3734F"/>
    <w:rsid w:val="00F400B0"/>
    <w:rsid w:val="00F42B8A"/>
    <w:rsid w:val="00F45213"/>
    <w:rsid w:val="00F5119E"/>
    <w:rsid w:val="00F51582"/>
    <w:rsid w:val="00F51BA7"/>
    <w:rsid w:val="00F53F1B"/>
    <w:rsid w:val="00F55CDA"/>
    <w:rsid w:val="00F610CF"/>
    <w:rsid w:val="00F61B64"/>
    <w:rsid w:val="00F63E29"/>
    <w:rsid w:val="00F64177"/>
    <w:rsid w:val="00F6752E"/>
    <w:rsid w:val="00F72E1B"/>
    <w:rsid w:val="00F74435"/>
    <w:rsid w:val="00F81966"/>
    <w:rsid w:val="00F8239A"/>
    <w:rsid w:val="00F82EC2"/>
    <w:rsid w:val="00F8428C"/>
    <w:rsid w:val="00F84E91"/>
    <w:rsid w:val="00F8614C"/>
    <w:rsid w:val="00F93E87"/>
    <w:rsid w:val="00F955FC"/>
    <w:rsid w:val="00F9562D"/>
    <w:rsid w:val="00FA0264"/>
    <w:rsid w:val="00FA072F"/>
    <w:rsid w:val="00FA1642"/>
    <w:rsid w:val="00FA2753"/>
    <w:rsid w:val="00FA4008"/>
    <w:rsid w:val="00FA5A96"/>
    <w:rsid w:val="00FB00E5"/>
    <w:rsid w:val="00FB383D"/>
    <w:rsid w:val="00FB5433"/>
    <w:rsid w:val="00FB7E03"/>
    <w:rsid w:val="00FC2715"/>
    <w:rsid w:val="00FC480D"/>
    <w:rsid w:val="00FC57F3"/>
    <w:rsid w:val="00FC7764"/>
    <w:rsid w:val="00FC7DD6"/>
    <w:rsid w:val="00FD150C"/>
    <w:rsid w:val="00FD2EE1"/>
    <w:rsid w:val="00FD3270"/>
    <w:rsid w:val="00FD6AF7"/>
    <w:rsid w:val="00FE15C6"/>
    <w:rsid w:val="00FE2A93"/>
    <w:rsid w:val="00FE39CD"/>
    <w:rsid w:val="00FF0C14"/>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45211"/>
  <w15:chartTrackingRefBased/>
  <w15:docId w15:val="{B69D277D-215C-448E-A90D-1772993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7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C10E8-6E4E-4B03-B417-176A9DE22C9D}">
  <ds:schemaRefs>
    <ds:schemaRef ds:uri="http://schemas.openxmlformats.org/officeDocument/2006/bibliography"/>
  </ds:schemaRefs>
</ds:datastoreItem>
</file>

<file path=customXml/itemProps2.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4.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Svetlana Iazykova</cp:lastModifiedBy>
  <cp:revision>3</cp:revision>
  <cp:lastPrinted>2021-06-27T03:52:00Z</cp:lastPrinted>
  <dcterms:created xsi:type="dcterms:W3CDTF">2021-07-16T13:37:00Z</dcterms:created>
  <dcterms:modified xsi:type="dcterms:W3CDTF">2021-07-16T13:38:00Z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MSIP_Label_e4c996da-17fa-4fc5-8989-2758fb4cf86b_Enabled">
    <vt:lpwstr>true</vt:lpwstr>
  </property>
  <property fmtid="{D5CDD505-2E9C-101B-9397-08002B2CF9AE}" pid="10" name="MSIP_Label_e4c996da-17fa-4fc5-8989-2758fb4cf86b_SetDate">
    <vt:lpwstr>2021-06-25T17:53:26Z</vt:lpwstr>
  </property>
  <property fmtid="{D5CDD505-2E9C-101B-9397-08002B2CF9AE}" pid="11" name="MSIP_Label_e4c996da-17fa-4fc5-8989-2758fb4cf86b_Method">
    <vt:lpwstr>Privileged</vt:lpwstr>
  </property>
  <property fmtid="{D5CDD505-2E9C-101B-9397-08002B2CF9AE}" pid="12" name="MSIP_Label_e4c996da-17fa-4fc5-8989-2758fb4cf86b_Name">
    <vt:lpwstr>OFFICIAL</vt:lpwstr>
  </property>
  <property fmtid="{D5CDD505-2E9C-101B-9397-08002B2CF9AE}" pid="13" name="MSIP_Label_e4c996da-17fa-4fc5-8989-2758fb4cf86b_SiteId">
    <vt:lpwstr>cdf709af-1a18-4c74-bd93-6d14a64d73b3</vt:lpwstr>
  </property>
  <property fmtid="{D5CDD505-2E9C-101B-9397-08002B2CF9AE}" pid="14" name="MSIP_Label_e4c996da-17fa-4fc5-8989-2758fb4cf86b_ActionId">
    <vt:lpwstr>ba2b73be-8988-4532-a925-60ac1e0eab57</vt:lpwstr>
  </property>
  <property fmtid="{D5CDD505-2E9C-101B-9397-08002B2CF9AE}" pid="15" name="MSIP_Label_e4c996da-17fa-4fc5-8989-2758fb4cf86b_ContentBits">
    <vt:lpwstr>1</vt:lpwstr>
  </property>
</Properties>
</file>